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pPr>
        <w:pStyle w:val="Title"/>
        <w:spacing w:after="80"/>
      </w:pPr>
      <w:r>
        <w:rPr>
          <w:color w:val="0F172A"/>
        </w:rPr>
        <w:t>Shelfbot Data Dive Specification</w:t>
      </w:r>
    </w:p>
    <w:p>
      <w:pPr>
        <w:pBdr>
          <w:bottom w:val="single" w:sz="6" w:space="8" w:color="d9d9d9"/>
        </w:pBdr>
        <w:spacing w:after="280"/>
      </w:pPr>
      <w:r>
        <w:rPr>
          <w:color w:val="475569"/>
          <w:sz w:val="20"/>
        </w:rPr>
        <w:t>SB-SPEC-DIVE · Version 3.2 · 29 August 2026</w:t>
      </w:r>
    </w:p>
    <w:p>
      <w:pPr>
        <w:pStyle w:val="Heading2"/>
      </w:pPr>
      <w:r>
        <w:t>1. Introduction</w:t>
      </w:r>
    </w:p>
    <w:p>
      <w:pPr>
        <w:spacing w:after="120"/>
      </w:pPr>
      <w:r>
        <w:t>This document outlines the data required by Shelfbot to accurately estimate and configure the ideal solution to meet a customer's specific SKU and order profile. Customers are requested to provide as much data as possible to help us maximise storage density and operational efficiency.</w:t>
      </w:r>
    </w:p>
    <w:p>
      <w:pPr>
        <w:spacing w:after="120"/>
      </w:pPr>
      <w:r>
        <w:t>Providing the following data allows Shelfbot to design and quote an optimal system for your site. Shelfbot can provide an Excel or Google Sheets template on request to simplify data export.</w:t>
      </w:r>
    </w:p>
    <w:p>
      <w:pPr>
        <w:pStyle w:val="Heading2"/>
      </w:pPr>
      <w:r>
        <w:t>2. Purpose &amp; Scope</w:t>
      </w:r>
    </w:p>
    <w:p>
      <w:pPr>
        <w:pStyle w:val="Heading3"/>
      </w:pPr>
      <w:r>
        <w:t>2.1 Purpose</w:t>
      </w:r>
    </w:p>
    <w:p>
      <w:pPr>
        <w:spacing w:after="120"/>
      </w:pPr>
      <w:r>
        <w:t>The purpose of this document is to collect essential customer data that will be used to configure the Shelfbot System effectively.</w:t>
      </w:r>
    </w:p>
    <w:p>
      <w:pPr>
        <w:pStyle w:val="Heading3"/>
      </w:pPr>
      <w:r>
        <w:t>2.2 Scope</w:t>
      </w:r>
    </w:p>
    <w:p>
      <w:pPr>
        <w:spacing w:after="120"/>
      </w:pPr>
      <w:r>
        <w:t>This specification covers the data submission requirements for the following:</w:t>
      </w:r>
    </w:p>
    <w:p>
      <w:pPr>
        <w:pStyle w:val="ListBullet"/>
        <w:numPr>
          <w:ilvl w:val="0"/>
          <w:numId w:val="5"/>
        </w:numPr>
      </w:pPr>
      <w:r>
        <w:t>SKU master data with Stock on Hand</w:t>
      </w:r>
    </w:p>
    <w:p>
      <w:pPr>
        <w:pStyle w:val="ListBullet"/>
        <w:numPr>
          <w:ilvl w:val="0"/>
          <w:numId w:val="5"/>
        </w:numPr>
        <w:spacing w:after="120"/>
      </w:pPr>
      <w:r>
        <w:t>Outbound Order History</w:t>
      </w:r>
    </w:p>
    <w:p>
      <w:pPr>
        <w:spacing w:after="120"/>
      </w:pPr>
      <w:r>
        <w:t>Shelfbot uses this data to:</w:t>
      </w:r>
    </w:p>
    <w:p>
      <w:pPr>
        <w:pStyle w:val="ListBullet"/>
        <w:numPr>
          <w:ilvl w:val="0"/>
          <w:numId w:val="5"/>
        </w:numPr>
      </w:pPr>
      <w:r>
        <w:t>calculate the number of totes and racking aisles required for your current stock on hand</w:t>
      </w:r>
    </w:p>
    <w:p>
      <w:pPr>
        <w:pStyle w:val="ListBullet"/>
        <w:numPr>
          <w:ilvl w:val="0"/>
          <w:numId w:val="5"/>
        </w:numPr>
      </w:pPr>
      <w:r>
        <w:t>analyse SKU velocity and order profiles (lines per order, units per SKU, ABC classification)</w:t>
      </w:r>
    </w:p>
    <w:p>
      <w:pPr>
        <w:pStyle w:val="ListBullet"/>
        <w:numPr>
          <w:ilvl w:val="0"/>
          <w:numId w:val="5"/>
        </w:numPr>
      </w:pPr>
      <w:r>
        <w:t>estimate the number of robots and stations required to hit your throughput targets</w:t>
      </w:r>
    </w:p>
    <w:p>
      <w:pPr>
        <w:pStyle w:val="ListBullet"/>
        <w:numPr>
          <w:ilvl w:val="0"/>
          <w:numId w:val="5"/>
        </w:numPr>
        <w:spacing w:after="120"/>
      </w:pPr>
      <w:r>
        <w:t>model future growth scenarios where requested</w:t>
      </w:r>
    </w:p>
    <w:p>
      <w:pPr>
        <w:pStyle w:val="Heading2"/>
      </w:pPr>
      <w:r>
        <w:t>3. Data Requirements</w:t>
      </w:r>
    </w:p>
    <w:p>
      <w:pPr>
        <w:pStyle w:val="Heading3"/>
      </w:pPr>
      <w:r>
        <w:t>3.1 SKU Master</w:t>
      </w:r>
    </w:p>
    <w:p>
      <w:pPr>
        <w:spacing w:after="120"/>
      </w:pPr>
      <w:r>
        <w:t>Customers should submit SKU data in CSV, Excel, or Google Sheets format. Please ensure SKUs are unique; dates are in a consistent format; quantities are positive integers; and stock on hand matches your latest cycle count where possible.</w:t>
      </w:r>
    </w:p>
    <w:p>
      <w:pPr>
        <w:spacing w:after="120"/>
      </w:pPr>
      <w:r>
        <w:t>Include as many of the following fields as possible:</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280"/>
        <w:gridCol w:w="2086"/>
        <w:gridCol w:w="767"/>
        <w:gridCol w:w="867"/>
      </w:tblGrid>
      <w:tr>
        <w:trPr>
          <w:tblHeader/>
        </w:trPr>
        <w:tc>
          <w:tcPr>
            <w:tcW w:w="1280" w:type="pct"/>
            <w:shd w:fill="f1f5f9" w:val="clear"/>
            <w:tcMar>
              <w:top w:w="40" w:type="dxa"/>
              <w:bottom w:w="40" w:type="dxa"/>
              <w:start w:w="90" w:type="dxa"/>
              <w:end w:w="90" w:type="dxa"/>
            </w:tcMar>
          </w:tcPr>
          <w:p>
            <w:pPr>
              <w:spacing w:after="0" w:before="0"/>
            </w:pPr>
            <w:r>
              <w:rPr>
                <w:b/>
                <w:sz w:val="18"/>
              </w:rPr>
              <w:t>Field Name</w:t>
            </w:r>
          </w:p>
        </w:tc>
        <w:tc>
          <w:tcPr>
            <w:tcW w:w="2086" w:type="pct"/>
            <w:shd w:fill="f1f5f9" w:val="clear"/>
            <w:tcMar>
              <w:top w:w="40" w:type="dxa"/>
              <w:bottom w:w="40" w:type="dxa"/>
              <w:start w:w="90" w:type="dxa"/>
              <w:end w:w="90" w:type="dxa"/>
            </w:tcMar>
          </w:tcPr>
          <w:p>
            <w:pPr>
              <w:spacing w:after="0" w:before="0"/>
            </w:pPr>
            <w:r>
              <w:rPr>
                <w:b/>
                <w:sz w:val="18"/>
              </w:rPr>
              <w:t>Description</w:t>
            </w:r>
          </w:p>
        </w:tc>
        <w:tc>
          <w:tcPr>
            <w:tcW w:w="767" w:type="pct"/>
            <w:shd w:fill="f1f5f9" w:val="clear"/>
            <w:tcMar>
              <w:top w:w="40" w:type="dxa"/>
              <w:bottom w:w="40" w:type="dxa"/>
              <w:start w:w="90" w:type="dxa"/>
              <w:end w:w="90" w:type="dxa"/>
            </w:tcMar>
          </w:tcPr>
          <w:p>
            <w:pPr>
              <w:spacing w:after="0" w:before="0"/>
              <w:jc w:val="center"/>
            </w:pPr>
            <w:r>
              <w:rPr>
                <w:b/>
                <w:sz w:val="18"/>
              </w:rPr>
              <w:t>Required</w:t>
            </w:r>
          </w:p>
        </w:tc>
        <w:tc>
          <w:tcPr>
            <w:tcW w:w="867" w:type="pct"/>
            <w:shd w:fill="f1f5f9" w:val="clear"/>
            <w:tcMar>
              <w:top w:w="40" w:type="dxa"/>
              <w:bottom w:w="40" w:type="dxa"/>
              <w:start w:w="90" w:type="dxa"/>
              <w:end w:w="90" w:type="dxa"/>
            </w:tcMar>
          </w:tcPr>
          <w:p>
            <w:pPr>
              <w:spacing w:after="0" w:before="0"/>
              <w:jc w:val="center"/>
            </w:pPr>
            <w:r>
              <w:rPr>
                <w:b/>
                <w:sz w:val="18"/>
              </w:rPr>
              <w:t>Preferred</w:t>
            </w:r>
          </w:p>
        </w:tc>
      </w:tr>
      <w:tr>
        <w:tc>
          <w:tcPr>
            <w:tcW w:w="1280" w:type="pct"/>
            <w:tcMar>
              <w:top w:w="40" w:type="dxa"/>
              <w:bottom w:w="40" w:type="dxa"/>
              <w:start w:w="90" w:type="dxa"/>
              <w:end w:w="90" w:type="dxa"/>
            </w:tcMar>
          </w:tcPr>
          <w:p>
            <w:pPr>
              <w:spacing w:after="0" w:before="0"/>
            </w:pPr>
            <w:r>
              <w:rPr>
                <w:sz w:val="18"/>
              </w:rPr>
              <w:t>SKU</w:t>
            </w:r>
          </w:p>
        </w:tc>
        <w:tc>
          <w:tcPr>
            <w:tcW w:w="2086" w:type="pct"/>
            <w:tcMar>
              <w:top w:w="40" w:type="dxa"/>
              <w:bottom w:w="40" w:type="dxa"/>
              <w:start w:w="90" w:type="dxa"/>
              <w:end w:w="90" w:type="dxa"/>
            </w:tcMar>
          </w:tcPr>
          <w:p>
            <w:pPr>
              <w:spacing w:after="0" w:before="0"/>
            </w:pPr>
            <w:r>
              <w:rPr>
                <w:sz w:val="18"/>
              </w:rPr>
              <w:t>Unique identifier for the product</w:t>
            </w:r>
          </w:p>
        </w:tc>
        <w:tc>
          <w:tcPr>
            <w:tcW w:w="767" w:type="pct"/>
            <w:tcMar>
              <w:top w:w="40" w:type="dxa"/>
              <w:bottom w:w="40" w:type="dxa"/>
              <w:start w:w="90" w:type="dxa"/>
              <w:end w:w="90" w:type="dxa"/>
            </w:tcMar>
          </w:tcPr>
          <w:p>
            <w:pPr>
              <w:spacing w:after="0" w:before="0"/>
              <w:jc w:val="center"/>
            </w:pPr>
            <w:r>
              <w:rPr>
                <w:sz w:val="18"/>
              </w:rPr>
              <w:t>☑</w:t>
            </w:r>
          </w:p>
        </w:tc>
        <w:tc>
          <w:tcPr>
            <w:tcW w:w="867" w:type="pct"/>
            <w:tcMar>
              <w:top w:w="40" w:type="dxa"/>
              <w:bottom w:w="40" w:type="dxa"/>
              <w:start w:w="90" w:type="dxa"/>
              <w:end w:w="90" w:type="dxa"/>
            </w:tcMar>
          </w:tcPr>
          <w:p>
            <w:pPr>
              <w:spacing w:after="0" w:before="0"/>
              <w:jc w:val="center"/>
            </w:pPr>
          </w:p>
        </w:tc>
      </w:tr>
      <w:tr>
        <w:tc>
          <w:tcPr>
            <w:tcW w:w="1280" w:type="pct"/>
            <w:tcMar>
              <w:top w:w="40" w:type="dxa"/>
              <w:bottom w:w="40" w:type="dxa"/>
              <w:start w:w="90" w:type="dxa"/>
              <w:end w:w="90" w:type="dxa"/>
            </w:tcMar>
          </w:tcPr>
          <w:p>
            <w:pPr>
              <w:spacing w:after="0" w:before="0"/>
            </w:pPr>
            <w:r>
              <w:rPr>
                <w:sz w:val="18"/>
              </w:rPr>
              <w:t>Description</w:t>
            </w:r>
          </w:p>
        </w:tc>
        <w:tc>
          <w:tcPr>
            <w:tcW w:w="2086" w:type="pct"/>
            <w:tcMar>
              <w:top w:w="40" w:type="dxa"/>
              <w:bottom w:w="40" w:type="dxa"/>
              <w:start w:w="90" w:type="dxa"/>
              <w:end w:w="90" w:type="dxa"/>
            </w:tcMar>
          </w:tcPr>
          <w:p>
            <w:pPr>
              <w:spacing w:after="0" w:before="0"/>
            </w:pPr>
            <w:r>
              <w:rPr>
                <w:sz w:val="18"/>
              </w:rPr>
              <w:t>Product name or description</w:t>
            </w:r>
          </w:p>
        </w:tc>
        <w:tc>
          <w:tcPr>
            <w:tcW w:w="767" w:type="pct"/>
            <w:tcMar>
              <w:top w:w="40" w:type="dxa"/>
              <w:bottom w:w="40" w:type="dxa"/>
              <w:start w:w="90" w:type="dxa"/>
              <w:end w:w="90" w:type="dxa"/>
            </w:tcMar>
          </w:tcPr>
          <w:p>
            <w:pPr>
              <w:spacing w:after="0" w:before="0"/>
              <w:jc w:val="center"/>
            </w:pPr>
          </w:p>
        </w:tc>
        <w:tc>
          <w:tcPr>
            <w:tcW w:w="867" w:type="pct"/>
            <w:tcMar>
              <w:top w:w="40" w:type="dxa"/>
              <w:bottom w:w="40" w:type="dxa"/>
              <w:start w:w="90" w:type="dxa"/>
              <w:end w:w="90" w:type="dxa"/>
            </w:tcMar>
          </w:tcPr>
          <w:p>
            <w:pPr>
              <w:spacing w:after="0" w:before="0"/>
              <w:jc w:val="center"/>
            </w:pPr>
            <w:r>
              <w:rPr>
                <w:sz w:val="18"/>
              </w:rPr>
              <w:t>☑</w:t>
            </w:r>
          </w:p>
        </w:tc>
      </w:tr>
      <w:tr>
        <w:tc>
          <w:tcPr>
            <w:tcW w:w="1280" w:type="pct"/>
            <w:tcMar>
              <w:top w:w="40" w:type="dxa"/>
              <w:bottom w:w="40" w:type="dxa"/>
              <w:start w:w="90" w:type="dxa"/>
              <w:end w:w="90" w:type="dxa"/>
            </w:tcMar>
          </w:tcPr>
          <w:p>
            <w:pPr>
              <w:spacing w:after="0" w:before="0"/>
            </w:pPr>
            <w:r>
              <w:rPr>
                <w:sz w:val="18"/>
              </w:rPr>
              <w:t>Group</w:t>
            </w:r>
          </w:p>
        </w:tc>
        <w:tc>
          <w:tcPr>
            <w:tcW w:w="2086" w:type="pct"/>
            <w:tcMar>
              <w:top w:w="40" w:type="dxa"/>
              <w:bottom w:w="40" w:type="dxa"/>
              <w:start w:w="90" w:type="dxa"/>
              <w:end w:w="90" w:type="dxa"/>
            </w:tcMar>
          </w:tcPr>
          <w:p>
            <w:pPr>
              <w:spacing w:after="0" w:before="0"/>
            </w:pPr>
            <w:r>
              <w:rPr>
                <w:sz w:val="18"/>
              </w:rPr>
              <w:t>Group SKUs by the principal / brand / stock owner</w:t>
            </w:r>
          </w:p>
        </w:tc>
        <w:tc>
          <w:tcPr>
            <w:tcW w:w="767" w:type="pct"/>
            <w:tcMar>
              <w:top w:w="40" w:type="dxa"/>
              <w:bottom w:w="40" w:type="dxa"/>
              <w:start w:w="90" w:type="dxa"/>
              <w:end w:w="90" w:type="dxa"/>
            </w:tcMar>
          </w:tcPr>
          <w:p>
            <w:pPr>
              <w:spacing w:after="0" w:before="0"/>
              <w:jc w:val="center"/>
            </w:pPr>
          </w:p>
        </w:tc>
        <w:tc>
          <w:tcPr>
            <w:tcW w:w="867" w:type="pct"/>
            <w:tcMar>
              <w:top w:w="40" w:type="dxa"/>
              <w:bottom w:w="40" w:type="dxa"/>
              <w:start w:w="90" w:type="dxa"/>
              <w:end w:w="90" w:type="dxa"/>
            </w:tcMar>
          </w:tcPr>
          <w:p>
            <w:pPr>
              <w:spacing w:after="0" w:before="0"/>
              <w:jc w:val="center"/>
            </w:pPr>
            <w:r>
              <w:rPr>
                <w:sz w:val="18"/>
              </w:rPr>
              <w:t>☑</w:t>
            </w:r>
          </w:p>
        </w:tc>
      </w:tr>
      <w:tr>
        <w:tc>
          <w:tcPr>
            <w:tcW w:w="1280" w:type="pct"/>
            <w:tcMar>
              <w:top w:w="40" w:type="dxa"/>
              <w:bottom w:w="40" w:type="dxa"/>
              <w:start w:w="90" w:type="dxa"/>
              <w:end w:w="90" w:type="dxa"/>
            </w:tcMar>
          </w:tcPr>
          <w:p>
            <w:pPr>
              <w:spacing w:after="0" w:before="0"/>
            </w:pPr>
            <w:r>
              <w:rPr>
                <w:sz w:val="18"/>
              </w:rPr>
              <w:t>Unit Length (mm)</w:t>
            </w:r>
          </w:p>
        </w:tc>
        <w:tc>
          <w:tcPr>
            <w:tcW w:w="2086" w:type="pct"/>
            <w:tcMar>
              <w:top w:w="40" w:type="dxa"/>
              <w:bottom w:w="40" w:type="dxa"/>
              <w:start w:w="90" w:type="dxa"/>
              <w:end w:w="90" w:type="dxa"/>
            </w:tcMar>
          </w:tcPr>
          <w:p>
            <w:pPr>
              <w:spacing w:after="0" w:before="0"/>
            </w:pPr>
            <w:r>
              <w:rPr>
                <w:sz w:val="18"/>
              </w:rPr>
              <w:t>Length of a single unit in millimeters</w:t>
            </w:r>
          </w:p>
        </w:tc>
        <w:tc>
          <w:tcPr>
            <w:tcW w:w="767" w:type="pct"/>
            <w:tcMar>
              <w:top w:w="40" w:type="dxa"/>
              <w:bottom w:w="40" w:type="dxa"/>
              <w:start w:w="90" w:type="dxa"/>
              <w:end w:w="90" w:type="dxa"/>
            </w:tcMar>
          </w:tcPr>
          <w:p>
            <w:pPr>
              <w:spacing w:after="0" w:before="0"/>
              <w:jc w:val="center"/>
            </w:pPr>
          </w:p>
        </w:tc>
        <w:tc>
          <w:tcPr>
            <w:tcW w:w="867" w:type="pct"/>
            <w:tcMar>
              <w:top w:w="40" w:type="dxa"/>
              <w:bottom w:w="40" w:type="dxa"/>
              <w:start w:w="90" w:type="dxa"/>
              <w:end w:w="90" w:type="dxa"/>
            </w:tcMar>
          </w:tcPr>
          <w:p>
            <w:pPr>
              <w:spacing w:after="0" w:before="0"/>
              <w:jc w:val="center"/>
            </w:pPr>
            <w:r>
              <w:rPr>
                <w:sz w:val="18"/>
              </w:rPr>
              <w:t>☑</w:t>
            </w:r>
          </w:p>
        </w:tc>
      </w:tr>
      <w:tr>
        <w:tc>
          <w:tcPr>
            <w:tcW w:w="1280" w:type="pct"/>
            <w:tcMar>
              <w:top w:w="40" w:type="dxa"/>
              <w:bottom w:w="40" w:type="dxa"/>
              <w:start w:w="90" w:type="dxa"/>
              <w:end w:w="90" w:type="dxa"/>
            </w:tcMar>
          </w:tcPr>
          <w:p>
            <w:pPr>
              <w:spacing w:after="0" w:before="0"/>
            </w:pPr>
            <w:r>
              <w:rPr>
                <w:sz w:val="18"/>
              </w:rPr>
              <w:t>Unit Width (mm)</w:t>
            </w:r>
          </w:p>
        </w:tc>
        <w:tc>
          <w:tcPr>
            <w:tcW w:w="2086" w:type="pct"/>
            <w:tcMar>
              <w:top w:w="40" w:type="dxa"/>
              <w:bottom w:w="40" w:type="dxa"/>
              <w:start w:w="90" w:type="dxa"/>
              <w:end w:w="90" w:type="dxa"/>
            </w:tcMar>
          </w:tcPr>
          <w:p>
            <w:pPr>
              <w:spacing w:after="0" w:before="0"/>
            </w:pPr>
            <w:r>
              <w:rPr>
                <w:sz w:val="18"/>
              </w:rPr>
              <w:t>Width of a single unit in millimeters</w:t>
            </w:r>
          </w:p>
        </w:tc>
        <w:tc>
          <w:tcPr>
            <w:tcW w:w="767" w:type="pct"/>
            <w:tcMar>
              <w:top w:w="40" w:type="dxa"/>
              <w:bottom w:w="40" w:type="dxa"/>
              <w:start w:w="90" w:type="dxa"/>
              <w:end w:w="90" w:type="dxa"/>
            </w:tcMar>
          </w:tcPr>
          <w:p>
            <w:pPr>
              <w:spacing w:after="0" w:before="0"/>
              <w:jc w:val="center"/>
            </w:pPr>
          </w:p>
        </w:tc>
        <w:tc>
          <w:tcPr>
            <w:tcW w:w="867" w:type="pct"/>
            <w:tcMar>
              <w:top w:w="40" w:type="dxa"/>
              <w:bottom w:w="40" w:type="dxa"/>
              <w:start w:w="90" w:type="dxa"/>
              <w:end w:w="90" w:type="dxa"/>
            </w:tcMar>
          </w:tcPr>
          <w:p>
            <w:pPr>
              <w:spacing w:after="0" w:before="0"/>
              <w:jc w:val="center"/>
            </w:pPr>
            <w:r>
              <w:rPr>
                <w:sz w:val="18"/>
              </w:rPr>
              <w:t>☑</w:t>
            </w:r>
          </w:p>
        </w:tc>
      </w:tr>
      <w:tr>
        <w:tc>
          <w:tcPr>
            <w:tcW w:w="1280" w:type="pct"/>
            <w:tcMar>
              <w:top w:w="40" w:type="dxa"/>
              <w:bottom w:w="40" w:type="dxa"/>
              <w:start w:w="90" w:type="dxa"/>
              <w:end w:w="90" w:type="dxa"/>
            </w:tcMar>
          </w:tcPr>
          <w:p>
            <w:pPr>
              <w:spacing w:after="0" w:before="0"/>
            </w:pPr>
            <w:r>
              <w:rPr>
                <w:sz w:val="18"/>
              </w:rPr>
              <w:t>Unit Height (mm)</w:t>
            </w:r>
          </w:p>
        </w:tc>
        <w:tc>
          <w:tcPr>
            <w:tcW w:w="2086" w:type="pct"/>
            <w:tcMar>
              <w:top w:w="40" w:type="dxa"/>
              <w:bottom w:w="40" w:type="dxa"/>
              <w:start w:w="90" w:type="dxa"/>
              <w:end w:w="90" w:type="dxa"/>
            </w:tcMar>
          </w:tcPr>
          <w:p>
            <w:pPr>
              <w:spacing w:after="0" w:before="0"/>
            </w:pPr>
            <w:r>
              <w:rPr>
                <w:sz w:val="18"/>
              </w:rPr>
              <w:t>Height of a single unit in millimeters</w:t>
            </w:r>
          </w:p>
        </w:tc>
        <w:tc>
          <w:tcPr>
            <w:tcW w:w="767" w:type="pct"/>
            <w:tcMar>
              <w:top w:w="40" w:type="dxa"/>
              <w:bottom w:w="40" w:type="dxa"/>
              <w:start w:w="90" w:type="dxa"/>
              <w:end w:w="90" w:type="dxa"/>
            </w:tcMar>
          </w:tcPr>
          <w:p>
            <w:pPr>
              <w:spacing w:after="0" w:before="0"/>
              <w:jc w:val="center"/>
            </w:pPr>
          </w:p>
        </w:tc>
        <w:tc>
          <w:tcPr>
            <w:tcW w:w="867" w:type="pct"/>
            <w:tcMar>
              <w:top w:w="40" w:type="dxa"/>
              <w:bottom w:w="40" w:type="dxa"/>
              <w:start w:w="90" w:type="dxa"/>
              <w:end w:w="90" w:type="dxa"/>
            </w:tcMar>
          </w:tcPr>
          <w:p>
            <w:pPr>
              <w:spacing w:after="0" w:before="0"/>
              <w:jc w:val="center"/>
            </w:pPr>
            <w:r>
              <w:rPr>
                <w:sz w:val="18"/>
              </w:rPr>
              <w:t>☑</w:t>
            </w:r>
          </w:p>
        </w:tc>
      </w:tr>
      <w:tr>
        <w:tc>
          <w:tcPr>
            <w:tcW w:w="1280" w:type="pct"/>
            <w:tcMar>
              <w:top w:w="40" w:type="dxa"/>
              <w:bottom w:w="40" w:type="dxa"/>
              <w:start w:w="90" w:type="dxa"/>
              <w:end w:w="90" w:type="dxa"/>
            </w:tcMar>
          </w:tcPr>
          <w:p>
            <w:pPr>
              <w:spacing w:after="0" w:before="0"/>
            </w:pPr>
            <w:r>
              <w:rPr>
                <w:sz w:val="18"/>
              </w:rPr>
              <w:t>Unit Weight (g)</w:t>
            </w:r>
          </w:p>
        </w:tc>
        <w:tc>
          <w:tcPr>
            <w:tcW w:w="2086" w:type="pct"/>
            <w:tcMar>
              <w:top w:w="40" w:type="dxa"/>
              <w:bottom w:w="40" w:type="dxa"/>
              <w:start w:w="90" w:type="dxa"/>
              <w:end w:w="90" w:type="dxa"/>
            </w:tcMar>
          </w:tcPr>
          <w:p>
            <w:pPr>
              <w:spacing w:after="0" w:before="0"/>
            </w:pPr>
            <w:r>
              <w:rPr>
                <w:sz w:val="18"/>
              </w:rPr>
              <w:t>Weight of a single unit in grams</w:t>
            </w:r>
          </w:p>
        </w:tc>
        <w:tc>
          <w:tcPr>
            <w:tcW w:w="767" w:type="pct"/>
            <w:tcMar>
              <w:top w:w="40" w:type="dxa"/>
              <w:bottom w:w="40" w:type="dxa"/>
              <w:start w:w="90" w:type="dxa"/>
              <w:end w:w="90" w:type="dxa"/>
            </w:tcMar>
          </w:tcPr>
          <w:p>
            <w:pPr>
              <w:spacing w:after="0" w:before="0"/>
              <w:jc w:val="center"/>
            </w:pPr>
          </w:p>
        </w:tc>
        <w:tc>
          <w:tcPr>
            <w:tcW w:w="867" w:type="pct"/>
            <w:tcMar>
              <w:top w:w="40" w:type="dxa"/>
              <w:bottom w:w="40" w:type="dxa"/>
              <w:start w:w="90" w:type="dxa"/>
              <w:end w:w="90" w:type="dxa"/>
            </w:tcMar>
          </w:tcPr>
          <w:p>
            <w:pPr>
              <w:spacing w:after="0" w:before="0"/>
              <w:jc w:val="center"/>
            </w:pPr>
            <w:r>
              <w:rPr>
                <w:sz w:val="18"/>
              </w:rPr>
              <w:t>☑</w:t>
            </w:r>
          </w:p>
        </w:tc>
      </w:tr>
      <w:tr>
        <w:tc>
          <w:tcPr>
            <w:tcW w:w="1280" w:type="pct"/>
            <w:tcMar>
              <w:top w:w="40" w:type="dxa"/>
              <w:bottom w:w="40" w:type="dxa"/>
              <w:start w:w="90" w:type="dxa"/>
              <w:end w:w="90" w:type="dxa"/>
            </w:tcMar>
          </w:tcPr>
          <w:p>
            <w:pPr>
              <w:spacing w:after="0" w:before="0"/>
            </w:pPr>
            <w:r>
              <w:rPr>
                <w:sz w:val="18"/>
              </w:rPr>
              <w:t>Carton Length (mm)</w:t>
            </w:r>
          </w:p>
        </w:tc>
        <w:tc>
          <w:tcPr>
            <w:tcW w:w="2086" w:type="pct"/>
            <w:tcMar>
              <w:top w:w="40" w:type="dxa"/>
              <w:bottom w:w="40" w:type="dxa"/>
              <w:start w:w="90" w:type="dxa"/>
              <w:end w:w="90" w:type="dxa"/>
            </w:tcMar>
          </w:tcPr>
          <w:p>
            <w:pPr>
              <w:spacing w:after="0" w:before="0"/>
            </w:pPr>
            <w:r>
              <w:rPr>
                <w:sz w:val="18"/>
              </w:rPr>
              <w:t>Length of the carton in millimeters</w:t>
            </w:r>
          </w:p>
        </w:tc>
        <w:tc>
          <w:tcPr>
            <w:tcW w:w="767" w:type="pct"/>
            <w:tcMar>
              <w:top w:w="40" w:type="dxa"/>
              <w:bottom w:w="40" w:type="dxa"/>
              <w:start w:w="90" w:type="dxa"/>
              <w:end w:w="90" w:type="dxa"/>
            </w:tcMar>
          </w:tcPr>
          <w:p>
            <w:pPr>
              <w:spacing w:after="0" w:before="0"/>
              <w:jc w:val="center"/>
            </w:pPr>
          </w:p>
        </w:tc>
        <w:tc>
          <w:tcPr>
            <w:tcW w:w="867" w:type="pct"/>
            <w:tcMar>
              <w:top w:w="40" w:type="dxa"/>
              <w:bottom w:w="40" w:type="dxa"/>
              <w:start w:w="90" w:type="dxa"/>
              <w:end w:w="90" w:type="dxa"/>
            </w:tcMar>
          </w:tcPr>
          <w:p>
            <w:pPr>
              <w:spacing w:after="0" w:before="0"/>
              <w:jc w:val="center"/>
            </w:pPr>
            <w:r>
              <w:rPr>
                <w:sz w:val="18"/>
              </w:rPr>
              <w:t>☑</w:t>
            </w:r>
          </w:p>
        </w:tc>
      </w:tr>
      <w:tr>
        <w:tc>
          <w:tcPr>
            <w:tcW w:w="1280" w:type="pct"/>
            <w:tcMar>
              <w:top w:w="40" w:type="dxa"/>
              <w:bottom w:w="40" w:type="dxa"/>
              <w:start w:w="90" w:type="dxa"/>
              <w:end w:w="90" w:type="dxa"/>
            </w:tcMar>
          </w:tcPr>
          <w:p>
            <w:pPr>
              <w:spacing w:after="0" w:before="0"/>
            </w:pPr>
            <w:r>
              <w:rPr>
                <w:sz w:val="18"/>
              </w:rPr>
              <w:t>Carton Width (mm)</w:t>
            </w:r>
          </w:p>
        </w:tc>
        <w:tc>
          <w:tcPr>
            <w:tcW w:w="2086" w:type="pct"/>
            <w:tcMar>
              <w:top w:w="40" w:type="dxa"/>
              <w:bottom w:w="40" w:type="dxa"/>
              <w:start w:w="90" w:type="dxa"/>
              <w:end w:w="90" w:type="dxa"/>
            </w:tcMar>
          </w:tcPr>
          <w:p>
            <w:pPr>
              <w:spacing w:after="0" w:before="0"/>
            </w:pPr>
            <w:r>
              <w:rPr>
                <w:sz w:val="18"/>
              </w:rPr>
              <w:t>Width of the carton in millimeters</w:t>
            </w:r>
          </w:p>
        </w:tc>
        <w:tc>
          <w:tcPr>
            <w:tcW w:w="767" w:type="pct"/>
            <w:tcMar>
              <w:top w:w="40" w:type="dxa"/>
              <w:bottom w:w="40" w:type="dxa"/>
              <w:start w:w="90" w:type="dxa"/>
              <w:end w:w="90" w:type="dxa"/>
            </w:tcMar>
          </w:tcPr>
          <w:p>
            <w:pPr>
              <w:spacing w:after="0" w:before="0"/>
              <w:jc w:val="center"/>
            </w:pPr>
          </w:p>
        </w:tc>
        <w:tc>
          <w:tcPr>
            <w:tcW w:w="867" w:type="pct"/>
            <w:tcMar>
              <w:top w:w="40" w:type="dxa"/>
              <w:bottom w:w="40" w:type="dxa"/>
              <w:start w:w="90" w:type="dxa"/>
              <w:end w:w="90" w:type="dxa"/>
            </w:tcMar>
          </w:tcPr>
          <w:p>
            <w:pPr>
              <w:spacing w:after="0" w:before="0"/>
              <w:jc w:val="center"/>
            </w:pPr>
            <w:r>
              <w:rPr>
                <w:sz w:val="18"/>
              </w:rPr>
              <w:t>☑</w:t>
            </w:r>
          </w:p>
        </w:tc>
      </w:tr>
      <w:tr>
        <w:tc>
          <w:tcPr>
            <w:tcW w:w="1280" w:type="pct"/>
            <w:tcMar>
              <w:top w:w="40" w:type="dxa"/>
              <w:bottom w:w="40" w:type="dxa"/>
              <w:start w:w="90" w:type="dxa"/>
              <w:end w:w="90" w:type="dxa"/>
            </w:tcMar>
          </w:tcPr>
          <w:p>
            <w:pPr>
              <w:spacing w:after="0" w:before="0"/>
            </w:pPr>
            <w:r>
              <w:rPr>
                <w:sz w:val="18"/>
              </w:rPr>
              <w:t>Carton Height (mm)</w:t>
            </w:r>
          </w:p>
        </w:tc>
        <w:tc>
          <w:tcPr>
            <w:tcW w:w="2086" w:type="pct"/>
            <w:tcMar>
              <w:top w:w="40" w:type="dxa"/>
              <w:bottom w:w="40" w:type="dxa"/>
              <w:start w:w="90" w:type="dxa"/>
              <w:end w:w="90" w:type="dxa"/>
            </w:tcMar>
          </w:tcPr>
          <w:p>
            <w:pPr>
              <w:spacing w:after="0" w:before="0"/>
            </w:pPr>
            <w:r>
              <w:rPr>
                <w:sz w:val="18"/>
              </w:rPr>
              <w:t>Height of the carton in millimeters</w:t>
            </w:r>
          </w:p>
        </w:tc>
        <w:tc>
          <w:tcPr>
            <w:tcW w:w="767" w:type="pct"/>
            <w:tcMar>
              <w:top w:w="40" w:type="dxa"/>
              <w:bottom w:w="40" w:type="dxa"/>
              <w:start w:w="90" w:type="dxa"/>
              <w:end w:w="90" w:type="dxa"/>
            </w:tcMar>
          </w:tcPr>
          <w:p>
            <w:pPr>
              <w:spacing w:after="0" w:before="0"/>
              <w:jc w:val="center"/>
            </w:pPr>
          </w:p>
        </w:tc>
        <w:tc>
          <w:tcPr>
            <w:tcW w:w="867" w:type="pct"/>
            <w:tcMar>
              <w:top w:w="40" w:type="dxa"/>
              <w:bottom w:w="40" w:type="dxa"/>
              <w:start w:w="90" w:type="dxa"/>
              <w:end w:w="90" w:type="dxa"/>
            </w:tcMar>
          </w:tcPr>
          <w:p>
            <w:pPr>
              <w:spacing w:after="0" w:before="0"/>
              <w:jc w:val="center"/>
            </w:pPr>
            <w:r>
              <w:rPr>
                <w:sz w:val="18"/>
              </w:rPr>
              <w:t>☑</w:t>
            </w:r>
          </w:p>
        </w:tc>
      </w:tr>
      <w:tr>
        <w:tc>
          <w:tcPr>
            <w:tcW w:w="1280" w:type="pct"/>
            <w:tcMar>
              <w:top w:w="40" w:type="dxa"/>
              <w:bottom w:w="40" w:type="dxa"/>
              <w:start w:w="90" w:type="dxa"/>
              <w:end w:w="90" w:type="dxa"/>
            </w:tcMar>
          </w:tcPr>
          <w:p>
            <w:pPr>
              <w:spacing w:after="0" w:before="0"/>
            </w:pPr>
            <w:r>
              <w:rPr>
                <w:sz w:val="18"/>
              </w:rPr>
              <w:t>Carton Weight (g)</w:t>
            </w:r>
          </w:p>
        </w:tc>
        <w:tc>
          <w:tcPr>
            <w:tcW w:w="2086" w:type="pct"/>
            <w:tcMar>
              <w:top w:w="40" w:type="dxa"/>
              <w:bottom w:w="40" w:type="dxa"/>
              <w:start w:w="90" w:type="dxa"/>
              <w:end w:w="90" w:type="dxa"/>
            </w:tcMar>
          </w:tcPr>
          <w:p>
            <w:pPr>
              <w:spacing w:after="0" w:before="0"/>
            </w:pPr>
            <w:r>
              <w:rPr>
                <w:sz w:val="18"/>
              </w:rPr>
              <w:t>Weight of the carton in grams</w:t>
            </w:r>
          </w:p>
        </w:tc>
        <w:tc>
          <w:tcPr>
            <w:tcW w:w="767" w:type="pct"/>
            <w:tcMar>
              <w:top w:w="40" w:type="dxa"/>
              <w:bottom w:w="40" w:type="dxa"/>
              <w:start w:w="90" w:type="dxa"/>
              <w:end w:w="90" w:type="dxa"/>
            </w:tcMar>
          </w:tcPr>
          <w:p>
            <w:pPr>
              <w:spacing w:after="0" w:before="0"/>
              <w:jc w:val="center"/>
            </w:pPr>
          </w:p>
        </w:tc>
        <w:tc>
          <w:tcPr>
            <w:tcW w:w="867" w:type="pct"/>
            <w:tcMar>
              <w:top w:w="40" w:type="dxa"/>
              <w:bottom w:w="40" w:type="dxa"/>
              <w:start w:w="90" w:type="dxa"/>
              <w:end w:w="90" w:type="dxa"/>
            </w:tcMar>
          </w:tcPr>
          <w:p>
            <w:pPr>
              <w:spacing w:after="0" w:before="0"/>
              <w:jc w:val="center"/>
            </w:pPr>
            <w:r>
              <w:rPr>
                <w:sz w:val="18"/>
              </w:rPr>
              <w:t>☑</w:t>
            </w:r>
          </w:p>
        </w:tc>
      </w:tr>
      <w:tr>
        <w:tc>
          <w:tcPr>
            <w:tcW w:w="1280" w:type="pct"/>
            <w:tcMar>
              <w:top w:w="40" w:type="dxa"/>
              <w:bottom w:w="40" w:type="dxa"/>
              <w:start w:w="90" w:type="dxa"/>
              <w:end w:w="90" w:type="dxa"/>
            </w:tcMar>
          </w:tcPr>
          <w:p>
            <w:pPr>
              <w:spacing w:after="0" w:before="0"/>
            </w:pPr>
            <w:r>
              <w:rPr>
                <w:sz w:val="18"/>
              </w:rPr>
              <w:t>Carton Units</w:t>
            </w:r>
          </w:p>
        </w:tc>
        <w:tc>
          <w:tcPr>
            <w:tcW w:w="2086" w:type="pct"/>
            <w:tcMar>
              <w:top w:w="40" w:type="dxa"/>
              <w:bottom w:w="40" w:type="dxa"/>
              <w:start w:w="90" w:type="dxa"/>
              <w:end w:w="90" w:type="dxa"/>
            </w:tcMar>
          </w:tcPr>
          <w:p>
            <w:pPr>
              <w:spacing w:after="0" w:before="0"/>
            </w:pPr>
            <w:r>
              <w:rPr>
                <w:sz w:val="18"/>
              </w:rPr>
              <w:t>Number of Units in each carton</w:t>
            </w:r>
          </w:p>
        </w:tc>
        <w:tc>
          <w:tcPr>
            <w:tcW w:w="767" w:type="pct"/>
            <w:tcMar>
              <w:top w:w="40" w:type="dxa"/>
              <w:bottom w:w="40" w:type="dxa"/>
              <w:start w:w="90" w:type="dxa"/>
              <w:end w:w="90" w:type="dxa"/>
            </w:tcMar>
          </w:tcPr>
          <w:p>
            <w:pPr>
              <w:spacing w:after="0" w:before="0"/>
              <w:jc w:val="center"/>
            </w:pPr>
          </w:p>
        </w:tc>
        <w:tc>
          <w:tcPr>
            <w:tcW w:w="867" w:type="pct"/>
            <w:tcMar>
              <w:top w:w="40" w:type="dxa"/>
              <w:bottom w:w="40" w:type="dxa"/>
              <w:start w:w="90" w:type="dxa"/>
              <w:end w:w="90" w:type="dxa"/>
            </w:tcMar>
          </w:tcPr>
          <w:p>
            <w:pPr>
              <w:spacing w:after="0" w:before="0"/>
              <w:jc w:val="center"/>
            </w:pPr>
            <w:r>
              <w:rPr>
                <w:sz w:val="18"/>
              </w:rPr>
              <w:t>☑</w:t>
            </w:r>
          </w:p>
        </w:tc>
      </w:tr>
      <w:tr>
        <w:tc>
          <w:tcPr>
            <w:tcW w:w="1280" w:type="pct"/>
            <w:tcMar>
              <w:top w:w="40" w:type="dxa"/>
              <w:bottom w:w="40" w:type="dxa"/>
              <w:start w:w="90" w:type="dxa"/>
              <w:end w:w="90" w:type="dxa"/>
            </w:tcMar>
          </w:tcPr>
          <w:p>
            <w:pPr>
              <w:spacing w:after="0" w:before="0"/>
            </w:pPr>
            <w:r>
              <w:rPr>
                <w:sz w:val="18"/>
              </w:rPr>
              <w:t>Stock on Hand</w:t>
            </w:r>
          </w:p>
        </w:tc>
        <w:tc>
          <w:tcPr>
            <w:tcW w:w="2086" w:type="pct"/>
            <w:tcMar>
              <w:top w:w="40" w:type="dxa"/>
              <w:bottom w:w="40" w:type="dxa"/>
              <w:start w:w="90" w:type="dxa"/>
              <w:end w:w="90" w:type="dxa"/>
            </w:tcMar>
          </w:tcPr>
          <w:p>
            <w:pPr>
              <w:spacing w:after="0" w:before="0"/>
            </w:pPr>
            <w:r>
              <w:rPr>
                <w:sz w:val="18"/>
              </w:rPr>
              <w:t>Total number of units stock on hand</w:t>
            </w:r>
          </w:p>
        </w:tc>
        <w:tc>
          <w:tcPr>
            <w:tcW w:w="767" w:type="pct"/>
            <w:tcMar>
              <w:top w:w="40" w:type="dxa"/>
              <w:bottom w:w="40" w:type="dxa"/>
              <w:start w:w="90" w:type="dxa"/>
              <w:end w:w="90" w:type="dxa"/>
            </w:tcMar>
          </w:tcPr>
          <w:p>
            <w:pPr>
              <w:spacing w:after="0" w:before="0"/>
              <w:jc w:val="center"/>
            </w:pPr>
          </w:p>
        </w:tc>
        <w:tc>
          <w:tcPr>
            <w:tcW w:w="867" w:type="pct"/>
            <w:tcMar>
              <w:top w:w="40" w:type="dxa"/>
              <w:bottom w:w="40" w:type="dxa"/>
              <w:start w:w="90" w:type="dxa"/>
              <w:end w:w="90" w:type="dxa"/>
            </w:tcMar>
          </w:tcPr>
          <w:p>
            <w:pPr>
              <w:spacing w:after="0" w:before="0"/>
              <w:jc w:val="center"/>
            </w:pPr>
            <w:r>
              <w:rPr>
                <w:sz w:val="18"/>
              </w:rPr>
              <w:t>☑</w:t>
            </w:r>
          </w:p>
        </w:tc>
      </w:tr>
      <w:tr>
        <w:tc>
          <w:tcPr>
            <w:tcW w:w="1280" w:type="pct"/>
            <w:tcMar>
              <w:top w:w="40" w:type="dxa"/>
              <w:bottom w:w="40" w:type="dxa"/>
              <w:start w:w="90" w:type="dxa"/>
              <w:end w:w="90" w:type="dxa"/>
            </w:tcMar>
          </w:tcPr>
          <w:p>
            <w:pPr>
              <w:spacing w:after="0" w:before="0"/>
            </w:pPr>
            <w:r>
              <w:rPr>
                <w:sz w:val="18"/>
              </w:rPr>
              <w:t>Image URL</w:t>
            </w:r>
          </w:p>
        </w:tc>
        <w:tc>
          <w:tcPr>
            <w:tcW w:w="2086" w:type="pct"/>
            <w:tcMar>
              <w:top w:w="40" w:type="dxa"/>
              <w:bottom w:w="40" w:type="dxa"/>
              <w:start w:w="90" w:type="dxa"/>
              <w:end w:w="90" w:type="dxa"/>
            </w:tcMar>
          </w:tcPr>
          <w:p>
            <w:pPr>
              <w:spacing w:after="0" w:before="0"/>
            </w:pPr>
            <w:r>
              <w:rPr>
                <w:sz w:val="18"/>
              </w:rPr>
              <w:t>Web link to a product image (optional)</w:t>
            </w:r>
          </w:p>
        </w:tc>
        <w:tc>
          <w:tcPr>
            <w:tcW w:w="767" w:type="pct"/>
            <w:tcMar>
              <w:top w:w="40" w:type="dxa"/>
              <w:bottom w:w="40" w:type="dxa"/>
              <w:start w:w="90" w:type="dxa"/>
              <w:end w:w="90" w:type="dxa"/>
            </w:tcMar>
          </w:tcPr>
          <w:p>
            <w:pPr>
              <w:spacing w:after="0" w:before="0"/>
              <w:jc w:val="center"/>
            </w:pPr>
          </w:p>
        </w:tc>
        <w:tc>
          <w:tcPr>
            <w:tcW w:w="867" w:type="pct"/>
            <w:tcMar>
              <w:top w:w="40" w:type="dxa"/>
              <w:bottom w:w="40" w:type="dxa"/>
              <w:start w:w="90" w:type="dxa"/>
              <w:end w:w="90" w:type="dxa"/>
            </w:tcMar>
          </w:tcPr>
          <w:p>
            <w:pPr>
              <w:spacing w:after="0" w:before="0"/>
              <w:jc w:val="center"/>
            </w:pPr>
          </w:p>
        </w:tc>
      </w:tr>
    </w:tbl>
    <w:p>
      <w:pPr>
        <w:spacing w:before="0" w:after="0"/>
        <w:rPr>
          <w:sz w:val="8"/>
          <w:szCs w:val="8"/>
        </w:rPr>
      </w:pPr>
    </w:p>
    <w:p>
      <w:pPr>
        <w:spacing w:after="120"/>
      </w:pPr>
      <w:r>
        <w:t>Note: Measurements are preferred in millimeters (mm) and grams (g). Please use a single unit set consistently across the file.</w:t>
      </w:r>
    </w:p>
    <w:p>
      <w:pPr>
        <w:spacing w:after="120"/>
      </w:pPr>
      <w:r>
        <w:t>Image URL is a publicly reachable web address (for example a product page image on your website), not an attached file. When provided, the image is shown alongside the SKU during analysis. Shelfbot does not copy or store the image.</w:t>
      </w:r>
    </w:p>
    <w:p>
      <w:pPr>
        <w:pStyle w:val="Heading3"/>
      </w:pPr>
      <w:r>
        <w:t>3.2 Outbound Orders / Sales Orders</w:t>
      </w:r>
    </w:p>
    <w:p>
      <w:pPr>
        <w:spacing w:after="120"/>
      </w:pPr>
      <w:r>
        <w:t>Customers should submit outbound order data in CSV, Excel, or Google Sheets format, covering ideally 12 months (minimum 30 days) of sales history. If seasonality is significant, please include a period that covers your peak season. If necessary, customer names and addresses may be removed or anonymised; we only require order-line detail.</w:t>
      </w:r>
    </w:p>
    <w:p>
      <w:pPr>
        <w:spacing w:after="120"/>
      </w:pPr>
      <w:r>
        <w:t>The required fields are:</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105"/>
        <w:gridCol w:w="2110"/>
        <w:gridCol w:w="873"/>
        <w:gridCol w:w="912"/>
      </w:tblGrid>
      <w:tr>
        <w:trPr>
          <w:tblHeader/>
        </w:trPr>
        <w:tc>
          <w:tcPr>
            <w:tcW w:w="1105" w:type="pct"/>
            <w:shd w:fill="f1f5f9" w:val="clear"/>
            <w:tcMar>
              <w:top w:w="40" w:type="dxa"/>
              <w:bottom w:w="40" w:type="dxa"/>
              <w:start w:w="90" w:type="dxa"/>
              <w:end w:w="90" w:type="dxa"/>
            </w:tcMar>
          </w:tcPr>
          <w:p>
            <w:pPr>
              <w:spacing w:after="0" w:before="0"/>
            </w:pPr>
            <w:r>
              <w:rPr>
                <w:b/>
                <w:sz w:val="18"/>
              </w:rPr>
              <w:t>Field Name</w:t>
            </w:r>
          </w:p>
        </w:tc>
        <w:tc>
          <w:tcPr>
            <w:tcW w:w="2110" w:type="pct"/>
            <w:shd w:fill="f1f5f9" w:val="clear"/>
            <w:tcMar>
              <w:top w:w="40" w:type="dxa"/>
              <w:bottom w:w="40" w:type="dxa"/>
              <w:start w:w="90" w:type="dxa"/>
              <w:end w:w="90" w:type="dxa"/>
            </w:tcMar>
          </w:tcPr>
          <w:p>
            <w:pPr>
              <w:spacing w:after="0" w:before="0"/>
            </w:pPr>
            <w:r>
              <w:rPr>
                <w:b/>
                <w:sz w:val="18"/>
              </w:rPr>
              <w:t>Description</w:t>
            </w:r>
          </w:p>
        </w:tc>
        <w:tc>
          <w:tcPr>
            <w:tcW w:w="873" w:type="pct"/>
            <w:shd w:fill="f1f5f9" w:val="clear"/>
            <w:tcMar>
              <w:top w:w="40" w:type="dxa"/>
              <w:bottom w:w="40" w:type="dxa"/>
              <w:start w:w="90" w:type="dxa"/>
              <w:end w:w="90" w:type="dxa"/>
            </w:tcMar>
          </w:tcPr>
          <w:p>
            <w:pPr>
              <w:spacing w:after="0" w:before="0"/>
              <w:jc w:val="center"/>
            </w:pPr>
            <w:r>
              <w:rPr>
                <w:b/>
                <w:sz w:val="18"/>
              </w:rPr>
              <w:t>Required</w:t>
            </w:r>
          </w:p>
        </w:tc>
        <w:tc>
          <w:tcPr>
            <w:tcW w:w="912" w:type="pct"/>
            <w:shd w:fill="f1f5f9" w:val="clear"/>
            <w:tcMar>
              <w:top w:w="40" w:type="dxa"/>
              <w:bottom w:w="40" w:type="dxa"/>
              <w:start w:w="90" w:type="dxa"/>
              <w:end w:w="90" w:type="dxa"/>
            </w:tcMar>
          </w:tcPr>
          <w:p>
            <w:pPr>
              <w:spacing w:after="0" w:before="0"/>
              <w:jc w:val="center"/>
            </w:pPr>
            <w:r>
              <w:rPr>
                <w:b/>
                <w:sz w:val="18"/>
              </w:rPr>
              <w:t>Preferred</w:t>
            </w:r>
          </w:p>
        </w:tc>
      </w:tr>
      <w:tr>
        <w:tc>
          <w:tcPr>
            <w:tcW w:w="1105" w:type="pct"/>
            <w:tcMar>
              <w:top w:w="40" w:type="dxa"/>
              <w:bottom w:w="40" w:type="dxa"/>
              <w:start w:w="90" w:type="dxa"/>
              <w:end w:w="90" w:type="dxa"/>
            </w:tcMar>
          </w:tcPr>
          <w:p>
            <w:pPr>
              <w:spacing w:after="0" w:before="0"/>
            </w:pPr>
            <w:r>
              <w:rPr>
                <w:sz w:val="18"/>
              </w:rPr>
              <w:t>Date</w:t>
            </w:r>
          </w:p>
        </w:tc>
        <w:tc>
          <w:tcPr>
            <w:tcW w:w="2110" w:type="pct"/>
            <w:tcMar>
              <w:top w:w="40" w:type="dxa"/>
              <w:bottom w:w="40" w:type="dxa"/>
              <w:start w:w="90" w:type="dxa"/>
              <w:end w:w="90" w:type="dxa"/>
            </w:tcMar>
          </w:tcPr>
          <w:p>
            <w:pPr>
              <w:spacing w:after="0" w:before="0"/>
            </w:pPr>
            <w:r>
              <w:rPr>
                <w:sz w:val="18"/>
              </w:rPr>
              <w:t>Order date</w:t>
            </w:r>
          </w:p>
        </w:tc>
        <w:tc>
          <w:tcPr>
            <w:tcW w:w="873" w:type="pct"/>
            <w:tcMar>
              <w:top w:w="40" w:type="dxa"/>
              <w:bottom w:w="40" w:type="dxa"/>
              <w:start w:w="90" w:type="dxa"/>
              <w:end w:w="90" w:type="dxa"/>
            </w:tcMar>
          </w:tcPr>
          <w:p>
            <w:pPr>
              <w:spacing w:after="0" w:before="0"/>
              <w:jc w:val="center"/>
            </w:pPr>
            <w:r>
              <w:rPr>
                <w:sz w:val="18"/>
              </w:rPr>
              <w:t>☑</w:t>
            </w:r>
          </w:p>
        </w:tc>
        <w:tc>
          <w:tcPr>
            <w:tcW w:w="912" w:type="pct"/>
            <w:tcMar>
              <w:top w:w="40" w:type="dxa"/>
              <w:bottom w:w="40" w:type="dxa"/>
              <w:start w:w="90" w:type="dxa"/>
              <w:end w:w="90" w:type="dxa"/>
            </w:tcMar>
          </w:tcPr>
          <w:p>
            <w:pPr>
              <w:spacing w:after="0" w:before="0"/>
              <w:jc w:val="center"/>
            </w:pPr>
          </w:p>
        </w:tc>
      </w:tr>
      <w:tr>
        <w:tc>
          <w:tcPr>
            <w:tcW w:w="1105" w:type="pct"/>
            <w:tcMar>
              <w:top w:w="40" w:type="dxa"/>
              <w:bottom w:w="40" w:type="dxa"/>
              <w:start w:w="90" w:type="dxa"/>
              <w:end w:w="90" w:type="dxa"/>
            </w:tcMar>
          </w:tcPr>
          <w:p>
            <w:pPr>
              <w:spacing w:after="0" w:before="0"/>
            </w:pPr>
            <w:r>
              <w:rPr>
                <w:sz w:val="18"/>
              </w:rPr>
              <w:t>Order Number</w:t>
            </w:r>
          </w:p>
        </w:tc>
        <w:tc>
          <w:tcPr>
            <w:tcW w:w="2110" w:type="pct"/>
            <w:tcMar>
              <w:top w:w="40" w:type="dxa"/>
              <w:bottom w:w="40" w:type="dxa"/>
              <w:start w:w="90" w:type="dxa"/>
              <w:end w:w="90" w:type="dxa"/>
            </w:tcMar>
          </w:tcPr>
          <w:p>
            <w:pPr>
              <w:spacing w:after="0" w:before="0"/>
            </w:pPr>
            <w:r>
              <w:rPr>
                <w:sz w:val="18"/>
              </w:rPr>
              <w:t>Unique order identifier</w:t>
            </w:r>
          </w:p>
        </w:tc>
        <w:tc>
          <w:tcPr>
            <w:tcW w:w="873" w:type="pct"/>
            <w:tcMar>
              <w:top w:w="40" w:type="dxa"/>
              <w:bottom w:w="40" w:type="dxa"/>
              <w:start w:w="90" w:type="dxa"/>
              <w:end w:w="90" w:type="dxa"/>
            </w:tcMar>
          </w:tcPr>
          <w:p>
            <w:pPr>
              <w:spacing w:after="0" w:before="0"/>
              <w:jc w:val="center"/>
            </w:pPr>
            <w:r>
              <w:rPr>
                <w:sz w:val="18"/>
              </w:rPr>
              <w:t>☑</w:t>
            </w:r>
          </w:p>
        </w:tc>
        <w:tc>
          <w:tcPr>
            <w:tcW w:w="912" w:type="pct"/>
            <w:tcMar>
              <w:top w:w="40" w:type="dxa"/>
              <w:bottom w:w="40" w:type="dxa"/>
              <w:start w:w="90" w:type="dxa"/>
              <w:end w:w="90" w:type="dxa"/>
            </w:tcMar>
          </w:tcPr>
          <w:p>
            <w:pPr>
              <w:spacing w:after="0" w:before="0"/>
              <w:jc w:val="center"/>
            </w:pPr>
          </w:p>
        </w:tc>
      </w:tr>
      <w:tr>
        <w:tc>
          <w:tcPr>
            <w:tcW w:w="1105" w:type="pct"/>
            <w:tcMar>
              <w:top w:w="40" w:type="dxa"/>
              <w:bottom w:w="40" w:type="dxa"/>
              <w:start w:w="90" w:type="dxa"/>
              <w:end w:w="90" w:type="dxa"/>
            </w:tcMar>
          </w:tcPr>
          <w:p>
            <w:pPr>
              <w:spacing w:after="0" w:before="0"/>
            </w:pPr>
            <w:r>
              <w:rPr>
                <w:sz w:val="18"/>
              </w:rPr>
              <w:t>SKU</w:t>
            </w:r>
          </w:p>
        </w:tc>
        <w:tc>
          <w:tcPr>
            <w:tcW w:w="2110" w:type="pct"/>
            <w:tcMar>
              <w:top w:w="40" w:type="dxa"/>
              <w:bottom w:w="40" w:type="dxa"/>
              <w:start w:w="90" w:type="dxa"/>
              <w:end w:w="90" w:type="dxa"/>
            </w:tcMar>
          </w:tcPr>
          <w:p>
            <w:pPr>
              <w:spacing w:after="0" w:before="0"/>
            </w:pPr>
            <w:r>
              <w:rPr>
                <w:sz w:val="18"/>
              </w:rPr>
              <w:t>Unique identifier for the product</w:t>
            </w:r>
          </w:p>
        </w:tc>
        <w:tc>
          <w:tcPr>
            <w:tcW w:w="873" w:type="pct"/>
            <w:tcMar>
              <w:top w:w="40" w:type="dxa"/>
              <w:bottom w:w="40" w:type="dxa"/>
              <w:start w:w="90" w:type="dxa"/>
              <w:end w:w="90" w:type="dxa"/>
            </w:tcMar>
          </w:tcPr>
          <w:p>
            <w:pPr>
              <w:spacing w:after="0" w:before="0"/>
              <w:jc w:val="center"/>
            </w:pPr>
            <w:r>
              <w:rPr>
                <w:sz w:val="18"/>
              </w:rPr>
              <w:t>☑</w:t>
            </w:r>
          </w:p>
        </w:tc>
        <w:tc>
          <w:tcPr>
            <w:tcW w:w="912" w:type="pct"/>
            <w:tcMar>
              <w:top w:w="40" w:type="dxa"/>
              <w:bottom w:w="40" w:type="dxa"/>
              <w:start w:w="90" w:type="dxa"/>
              <w:end w:w="90" w:type="dxa"/>
            </w:tcMar>
          </w:tcPr>
          <w:p>
            <w:pPr>
              <w:spacing w:after="0" w:before="0"/>
              <w:jc w:val="center"/>
            </w:pPr>
          </w:p>
        </w:tc>
      </w:tr>
      <w:tr>
        <w:tc>
          <w:tcPr>
            <w:tcW w:w="1105" w:type="pct"/>
            <w:tcMar>
              <w:top w:w="40" w:type="dxa"/>
              <w:bottom w:w="40" w:type="dxa"/>
              <w:start w:w="90" w:type="dxa"/>
              <w:end w:w="90" w:type="dxa"/>
            </w:tcMar>
          </w:tcPr>
          <w:p>
            <w:pPr>
              <w:spacing w:after="0" w:before="0"/>
            </w:pPr>
            <w:r>
              <w:rPr>
                <w:sz w:val="18"/>
              </w:rPr>
              <w:t>Quantity</w:t>
            </w:r>
          </w:p>
        </w:tc>
        <w:tc>
          <w:tcPr>
            <w:tcW w:w="2110" w:type="pct"/>
            <w:tcMar>
              <w:top w:w="40" w:type="dxa"/>
              <w:bottom w:w="40" w:type="dxa"/>
              <w:start w:w="90" w:type="dxa"/>
              <w:end w:w="90" w:type="dxa"/>
            </w:tcMar>
          </w:tcPr>
          <w:p>
            <w:pPr>
              <w:spacing w:after="0" w:before="0"/>
            </w:pPr>
            <w:r>
              <w:rPr>
                <w:sz w:val="18"/>
              </w:rPr>
              <w:t>Order Line Units per SKU</w:t>
            </w:r>
          </w:p>
        </w:tc>
        <w:tc>
          <w:tcPr>
            <w:tcW w:w="873" w:type="pct"/>
            <w:tcMar>
              <w:top w:w="40" w:type="dxa"/>
              <w:bottom w:w="40" w:type="dxa"/>
              <w:start w:w="90" w:type="dxa"/>
              <w:end w:w="90" w:type="dxa"/>
            </w:tcMar>
          </w:tcPr>
          <w:p>
            <w:pPr>
              <w:spacing w:after="0" w:before="0"/>
              <w:jc w:val="center"/>
            </w:pPr>
            <w:r>
              <w:rPr>
                <w:sz w:val="18"/>
              </w:rPr>
              <w:t>☑</w:t>
            </w:r>
          </w:p>
        </w:tc>
        <w:tc>
          <w:tcPr>
            <w:tcW w:w="912" w:type="pct"/>
            <w:tcMar>
              <w:top w:w="40" w:type="dxa"/>
              <w:bottom w:w="40" w:type="dxa"/>
              <w:start w:w="90" w:type="dxa"/>
              <w:end w:w="90" w:type="dxa"/>
            </w:tcMar>
          </w:tcPr>
          <w:p>
            <w:pPr>
              <w:spacing w:after="0" w:before="0"/>
              <w:jc w:val="center"/>
            </w:pPr>
          </w:p>
        </w:tc>
      </w:tr>
    </w:tbl>
    <w:p>
      <w:pPr>
        <w:spacing w:before="0" w:after="0"/>
        <w:rPr>
          <w:sz w:val="8"/>
          <w:szCs w:val="8"/>
        </w:rPr>
      </w:pPr>
    </w:p>
    <w:p>
      <w:pPr>
        <w:spacing w:after="120"/>
      </w:pPr>
      <w:r>
        <w:t>By providing this data accurately, customers enable optimal configuration and performance of the Shelfbot system.</w:t>
      </w:r>
    </w:p>
    <w:p>
      <w:pPr>
        <w:pStyle w:val="Heading2"/>
      </w:pPr>
      <w:r>
        <w:t>4. Revision History</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950"/>
        <w:gridCol w:w="1332"/>
        <w:gridCol w:w="2718"/>
      </w:tblGrid>
      <w:tr>
        <w:trPr>
          <w:tblHeader/>
        </w:trPr>
        <w:tc>
          <w:tcPr>
            <w:tcW w:w="950" w:type="pct"/>
            <w:shd w:fill="f1f5f9" w:val="clear"/>
            <w:tcMar>
              <w:top w:w="40" w:type="dxa"/>
              <w:bottom w:w="40" w:type="dxa"/>
              <w:start w:w="90" w:type="dxa"/>
              <w:end w:w="90" w:type="dxa"/>
            </w:tcMar>
          </w:tcPr>
          <w:p>
            <w:pPr>
              <w:spacing w:after="0" w:before="0"/>
              <w:jc w:val="center"/>
            </w:pPr>
            <w:r>
              <w:rPr>
                <w:b/>
                <w:sz w:val="18"/>
              </w:rPr>
              <w:t>Version</w:t>
            </w:r>
          </w:p>
        </w:tc>
        <w:tc>
          <w:tcPr>
            <w:tcW w:w="1332" w:type="pct"/>
            <w:shd w:fill="f1f5f9" w:val="clear"/>
            <w:tcMar>
              <w:top w:w="40" w:type="dxa"/>
              <w:bottom w:w="40" w:type="dxa"/>
              <w:start w:w="90" w:type="dxa"/>
              <w:end w:w="90" w:type="dxa"/>
            </w:tcMar>
          </w:tcPr>
          <w:p>
            <w:pPr>
              <w:spacing w:after="0" w:before="0"/>
            </w:pPr>
            <w:r>
              <w:rPr>
                <w:b/>
                <w:sz w:val="18"/>
              </w:rPr>
              <w:t>Date</w:t>
            </w:r>
          </w:p>
        </w:tc>
        <w:tc>
          <w:tcPr>
            <w:tcW w:w="2718" w:type="pct"/>
            <w:shd w:fill="f1f5f9" w:val="clear"/>
            <w:tcMar>
              <w:top w:w="40" w:type="dxa"/>
              <w:bottom w:w="40" w:type="dxa"/>
              <w:start w:w="90" w:type="dxa"/>
              <w:end w:w="90" w:type="dxa"/>
            </w:tcMar>
          </w:tcPr>
          <w:p>
            <w:pPr>
              <w:spacing w:after="0" w:before="0"/>
            </w:pPr>
            <w:r>
              <w:rPr>
                <w:b/>
                <w:sz w:val="18"/>
              </w:rPr>
              <w:t>Change</w:t>
            </w:r>
          </w:p>
        </w:tc>
      </w:tr>
      <w:tr>
        <w:tc>
          <w:tcPr>
            <w:tcW w:w="950" w:type="pct"/>
            <w:tcMar>
              <w:top w:w="40" w:type="dxa"/>
              <w:bottom w:w="40" w:type="dxa"/>
              <w:start w:w="90" w:type="dxa"/>
              <w:end w:w="90" w:type="dxa"/>
            </w:tcMar>
          </w:tcPr>
          <w:p>
            <w:pPr>
              <w:spacing w:after="0" w:before="0"/>
              <w:jc w:val="center"/>
            </w:pPr>
            <w:r>
              <w:rPr>
                <w:sz w:val="18"/>
              </w:rPr>
              <w:t>3.1</w:t>
            </w:r>
          </w:p>
        </w:tc>
        <w:tc>
          <w:tcPr>
            <w:tcW w:w="1332" w:type="pct"/>
            <w:tcMar>
              <w:top w:w="40" w:type="dxa"/>
              <w:bottom w:w="40" w:type="dxa"/>
              <w:start w:w="90" w:type="dxa"/>
              <w:end w:w="90" w:type="dxa"/>
            </w:tcMar>
          </w:tcPr>
          <w:p>
            <w:pPr>
              <w:spacing w:after="0" w:before="0"/>
            </w:pPr>
            <w:r>
              <w:rPr>
                <w:sz w:val="18"/>
              </w:rPr>
              <w:t>19/08/2026</w:t>
            </w:r>
          </w:p>
        </w:tc>
        <w:tc>
          <w:tcPr>
            <w:tcW w:w="2718" w:type="pct"/>
            <w:tcMar>
              <w:top w:w="40" w:type="dxa"/>
              <w:bottom w:w="40" w:type="dxa"/>
              <w:start w:w="90" w:type="dxa"/>
              <w:end w:w="90" w:type="dxa"/>
            </w:tcMar>
          </w:tcPr>
          <w:p>
            <w:pPr>
              <w:spacing w:after="0" w:before="0"/>
            </w:pPr>
            <w:r>
              <w:rPr>
                <w:sz w:val="18"/>
              </w:rPr>
              <w:t>Published to Web Site</w:t>
            </w:r>
          </w:p>
        </w:tc>
      </w:tr>
      <w:tr>
        <w:tc>
          <w:tcPr>
            <w:tcW w:w="950" w:type="pct"/>
            <w:tcMar>
              <w:top w:w="40" w:type="dxa"/>
              <w:bottom w:w="40" w:type="dxa"/>
              <w:start w:w="90" w:type="dxa"/>
              <w:end w:w="90" w:type="dxa"/>
            </w:tcMar>
          </w:tcPr>
          <w:p>
            <w:pPr>
              <w:spacing w:after="0" w:before="0"/>
              <w:jc w:val="center"/>
            </w:pPr>
            <w:r>
              <w:rPr>
                <w:sz w:val="18"/>
              </w:rPr>
              <w:t>3.2</w:t>
            </w:r>
          </w:p>
        </w:tc>
        <w:tc>
          <w:tcPr>
            <w:tcW w:w="1332" w:type="pct"/>
            <w:tcMar>
              <w:top w:w="40" w:type="dxa"/>
              <w:bottom w:w="40" w:type="dxa"/>
              <w:start w:w="90" w:type="dxa"/>
              <w:end w:w="90" w:type="dxa"/>
            </w:tcMar>
          </w:tcPr>
          <w:p>
            <w:pPr>
              <w:spacing w:after="0" w:before="0"/>
            </w:pPr>
            <w:r>
              <w:rPr>
                <w:sz w:val="18"/>
              </w:rPr>
              <w:t>29/08/2026</w:t>
            </w:r>
          </w:p>
        </w:tc>
        <w:tc>
          <w:tcPr>
            <w:tcW w:w="2718" w:type="pct"/>
            <w:tcMar>
              <w:top w:w="40" w:type="dxa"/>
              <w:bottom w:w="40" w:type="dxa"/>
              <w:start w:w="90" w:type="dxa"/>
              <w:end w:w="90" w:type="dxa"/>
            </w:tcMar>
          </w:tcPr>
          <w:p>
            <w:pPr>
              <w:spacing w:after="0" w:before="0"/>
            </w:pPr>
            <w:r>
              <w:rPr>
                <w:sz w:val="18"/>
              </w:rPr>
              <w:t>Added optional Image URL field to the SKU Master</w:t>
            </w:r>
          </w:p>
        </w:tc>
      </w:tr>
    </w:tbl>
    <w:p>
      <w:pPr>
        <w:spacing w:before="0" w:after="0"/>
        <w:rPr>
          <w:sz w:val="8"/>
          <w:szCs w:val="8"/>
        </w:rPr>
      </w:pPr>
    </w:p>
    <w:sectPr w:rsidR="00116E53">
      <w:headerReference w:type="default" r:id="rId17"/>
      <w:headerReference w:type="first" r:id="rId18"/>
      <w:footerReference w:type="default" r:id="rId19"/>
      <w:footerReference w:type="first" r:id="rId20"/>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5540" w:rsidRDefault="00115540">
      <w:pPr>
        <w:spacing w:line="240" w:lineRule="auto"/>
      </w:pPr>
      <w:r>
        <w:separator/>
      </w:r>
    </w:p>
  </w:endnote>
  <w:endnote w:type="continuationSeparator" w:id="0">
    <w:p w:rsidR="00115540" w:rsidRDefault="001155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5540" w:rsidRDefault="00115540">
      <w:pPr>
        <w:spacing w:line="240" w:lineRule="auto"/>
      </w:pPr>
      <w:r>
        <w:separator/>
      </w:r>
    </w:p>
  </w:footnote>
  <w:footnote w:type="continuationSeparator" w:id="0">
    <w:p w:rsidR="00115540" w:rsidRDefault="00115540">
      <w:pPr>
        <w:spacing w:line="240" w:lineRule="auto"/>
      </w:pPr>
      <w:r>
        <w:continuationSeparator/>
      </w:r>
    </w:p>
  </w:footnote>
</w:footnotes>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4" w:color="d9d9d9"/>
      </w:pBdr>
      <w:tabs>
        <w:tab w:pos="9026" w:val="right"/>
      </w:tabs>
      <w:spacing w:after="0"/>
    </w:pPr>
    <w:r>
      <w:rPr>
        <w:color w:val="475569"/>
        <w:sz w:val="17"/>
      </w:rPr>
      <w:t>Shelfbot Data Dive Specification</w:t>
    </w:r>
    <w:r>
      <w:rPr>
        <w:color w:val="475569"/>
        <w:sz w:val="17"/>
      </w:rPr>
      <w:tab/>
      <w:t>SB-SPEC-DIVE · Version 3.2</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1795A"/>
    <w:multiLevelType w:val="multilevel"/>
    <w:tmpl w:val="A11E64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7837C8"/>
    <w:multiLevelType w:val="multilevel"/>
    <w:tmpl w:val="88385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433F8B"/>
    <w:multiLevelType w:val="multilevel"/>
    <w:tmpl w:val="002AAE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C3429CD"/>
    <w:multiLevelType w:val="multilevel"/>
    <w:tmpl w:val="8E5CF7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multiLevelType w:val="hybridMultilevel"/>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5">
    <w:multiLevelType w:val="hybridMultilevel"/>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16cid:durableId="2002418222">
    <w:abstractNumId w:val="1"/>
  </w:num>
  <w:num w:numId="2" w16cid:durableId="360740353">
    <w:abstractNumId w:val="2"/>
  </w:num>
  <w:num w:numId="3" w16cid:durableId="1211117638">
    <w:abstractNumId w:val="3"/>
  </w:num>
  <w:num w:numId="4" w16cid:durableId="1900244098">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10E"/>
    <w:rsid w:val="0000526E"/>
    <w:rsid w:val="00022A24"/>
    <w:rsid w:val="00046F8A"/>
    <w:rsid w:val="000D6C59"/>
    <w:rsid w:val="00115540"/>
    <w:rsid w:val="00116E53"/>
    <w:rsid w:val="00144EFC"/>
    <w:rsid w:val="00165FB6"/>
    <w:rsid w:val="0018212A"/>
    <w:rsid w:val="002163BC"/>
    <w:rsid w:val="002222C5"/>
    <w:rsid w:val="00291270"/>
    <w:rsid w:val="00304EEA"/>
    <w:rsid w:val="003379ED"/>
    <w:rsid w:val="0036710E"/>
    <w:rsid w:val="003A393C"/>
    <w:rsid w:val="003F63E2"/>
    <w:rsid w:val="00452FBD"/>
    <w:rsid w:val="00492CF5"/>
    <w:rsid w:val="004A34A0"/>
    <w:rsid w:val="00524BCF"/>
    <w:rsid w:val="0059042D"/>
    <w:rsid w:val="005A6606"/>
    <w:rsid w:val="005B20E0"/>
    <w:rsid w:val="00602F03"/>
    <w:rsid w:val="00675CF6"/>
    <w:rsid w:val="00675E19"/>
    <w:rsid w:val="006A2BF9"/>
    <w:rsid w:val="006B1C09"/>
    <w:rsid w:val="006D5918"/>
    <w:rsid w:val="00711B4F"/>
    <w:rsid w:val="007B42F2"/>
    <w:rsid w:val="007F32FA"/>
    <w:rsid w:val="008019CB"/>
    <w:rsid w:val="00805D4C"/>
    <w:rsid w:val="0084081E"/>
    <w:rsid w:val="00844A53"/>
    <w:rsid w:val="0085298B"/>
    <w:rsid w:val="00883A57"/>
    <w:rsid w:val="008A582D"/>
    <w:rsid w:val="008C73A7"/>
    <w:rsid w:val="008D4F0B"/>
    <w:rsid w:val="00901FA8"/>
    <w:rsid w:val="00913BBC"/>
    <w:rsid w:val="009E34AC"/>
    <w:rsid w:val="00AB01D3"/>
    <w:rsid w:val="00B636F4"/>
    <w:rsid w:val="00BF435F"/>
    <w:rsid w:val="00C44C08"/>
    <w:rsid w:val="00C5009F"/>
    <w:rsid w:val="00C8205A"/>
    <w:rsid w:val="00CD5523"/>
    <w:rsid w:val="00D02571"/>
    <w:rsid w:val="00D67B8F"/>
    <w:rsid w:val="00D73FF2"/>
    <w:rsid w:val="00D8444F"/>
    <w:rsid w:val="00D85A31"/>
    <w:rsid w:val="00DC339F"/>
    <w:rsid w:val="00DC7BA1"/>
    <w:rsid w:val="00DD03DC"/>
    <w:rsid w:val="00E00EEE"/>
    <w:rsid w:val="00E1714E"/>
    <w:rsid w:val="00E6783E"/>
    <w:rsid w:val="00F1757F"/>
    <w:rsid w:val="00F205AA"/>
    <w:rsid w:val="00F425E0"/>
    <w:rsid w:val="00F65815"/>
    <w:rsid w:val="00F92435"/>
    <w:rsid w:val="00FE11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03DFE"/>
  <w15:docId w15:val="{6E2F75C7-53BC-5342-96E4-88076DEC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Light" w:eastAsia="Helvetica Neue Light" w:hAnsi="Helvetica Neue Light" w:cs="Helvetica Neue Light"/>
        <w:lang w:val="en-A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8" w:space="6" w:color="999999"/>
      </w:pBdr>
      <w:spacing w:before="225" w:after="400" w:line="240" w:lineRule="auto"/>
      <w:outlineLvl w:val="0"/>
    </w:pPr>
    <w:rPr>
      <w:rFonts w:ascii="Helvetica Neue" w:eastAsia="Helvetica Neue" w:hAnsi="Helvetica Neue" w:cs="Helvetica Neue"/>
      <w:sz w:val="44"/>
      <w:szCs w:val="44"/>
    </w:rPr>
  </w:style>
  <w:style w:type="paragraph" w:styleId="Heading2">
    <w:name w:val="heading 2"/>
    <w:basedOn w:val="Normal"/>
    <w:next w:val="Normal"/>
    <w:uiPriority w:val="9"/>
    <w:unhideWhenUsed/>
    <w:qFormat/>
    <w:pPr>
      <w:keepNext/>
      <w:keepLines/>
      <w:spacing w:before="400" w:after="400" w:line="360" w:lineRule="auto"/>
      <w:outlineLvl w:val="1"/>
    </w:pPr>
    <w:rPr>
      <w:rFonts w:ascii="Helvetica Neue" w:eastAsia="Helvetica Neue" w:hAnsi="Helvetica Neue" w:cs="Helvetica Neue"/>
      <w:sz w:val="36"/>
      <w:szCs w:val="36"/>
    </w:rPr>
  </w:style>
  <w:style w:type="paragraph" w:styleId="Heading3">
    <w:name w:val="heading 3"/>
    <w:basedOn w:val="Normal"/>
    <w:next w:val="Normal"/>
    <w:uiPriority w:val="9"/>
    <w:unhideWhenUsed/>
    <w:qFormat/>
    <w:pPr>
      <w:keepNext/>
      <w:keepLines/>
      <w:spacing w:before="160" w:after="100"/>
      <w:outlineLvl w:val="2"/>
    </w:pPr>
    <w:rPr>
      <w:rFonts w:ascii="Helvetica Neue" w:eastAsia="Helvetica Neue" w:hAnsi="Helvetica Neue" w:cs="Helvetica Neue"/>
      <w:b/>
      <w:bCs/>
      <w:color w:val="2B6991"/>
      <w:sz w:val="26"/>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b/>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b/>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Footer">
    <w:name w:val="footer"/>
    <w:basedOn w:val="Normal"/>
    <w:link w:val="FooterChar"/>
    <w:uiPriority w:val="99"/>
    <w:unhideWhenUsed/>
    <w:rsid w:val="00046F8A"/>
    <w:pPr>
      <w:tabs>
        <w:tab w:val="center" w:pos="4513"/>
        <w:tab w:val="right" w:pos="9026"/>
      </w:tabs>
      <w:spacing w:line="240" w:lineRule="auto"/>
    </w:pPr>
  </w:style>
  <w:style w:type="character" w:customStyle="1" w:styleId="FooterChar">
    <w:name w:val="Footer Char"/>
    <w:basedOn w:val="DefaultParagraphFont"/>
    <w:link w:val="Footer"/>
    <w:uiPriority w:val="99"/>
    <w:rsid w:val="00046F8A"/>
  </w:style>
  <w:style w:type="character" w:styleId="Hyperlink">
    <w:name w:val="Hyperlink"/>
    <w:basedOn w:val="DefaultParagraphFont"/>
    <w:uiPriority w:val="99"/>
    <w:unhideWhenUsed/>
    <w:rsid w:val="00524BCF"/>
    <w:rPr>
      <w:color w:val="0000FF" w:themeColor="hyperlink"/>
      <w:u w:val="single"/>
    </w:rPr>
  </w:style>
  <w:style w:type="character" w:styleId="UnresolvedMention">
    <w:name w:val="Unresolved Mention"/>
    <w:basedOn w:val="DefaultParagraphFont"/>
    <w:uiPriority w:val="99"/>
    <w:semiHidden/>
    <w:unhideWhenUsed/>
    <w:rsid w:val="00524BCF"/>
    <w:rPr>
      <w:color w:val="605E5C"/>
      <w:shd w:val="clear" w:color="auto" w:fill="E1DFDD"/>
    </w:rPr>
  </w:style>
  <w:style w:type="paragraph" w:styleId="ListParagraph">
    <w:name w:val="List Paragraph"/>
    <w:basedOn w:val="Normal"/>
    <w:uiPriority w:val="34"/>
    <w:qFormat/>
    <w:rsid w:val="00BF435F"/>
    <w:pPr>
      <w:ind w:left="720"/>
      <w:contextualSpacing/>
    </w:pPr>
  </w:style>
  <w:style w:type="paragraph" w:customStyle="1" w:styleId="ListBullet">
    <w:name w:val="List Bullet"/>
    <w:basedOn w:val="Normal"/>
    <w:qFormat/>
    <w:pPr>
      <w:spacing w:after="60"/>
      <w:contextualSpacing/>
    </w:pPr>
  </w:style>
  <w:style w:type="paragraph" w:customStyle="1" w:styleId="ListNumber">
    <w:name w:val="List Number"/>
    <w:basedOn w:val="Normal"/>
    <w:qFormat/>
    <w:pPr>
      <w:spacing w:after="60"/>
      <w:contextualSpacing/>
    </w:pPr>
  </w:style>
  <w:style w:type="paragraph" w:customStyle="1" w:styleId="Caption">
    <w:name w:val="caption"/>
    <w:basedOn w:val="Normal"/>
    <w:qFormat/>
    <w:pPr>
      <w:spacing w:before="40" w:after="200"/>
      <w:jc w:val="center"/>
    </w:pPr>
    <w:rPr>
      <w:i/>
      <w:color w:val="475569"/>
      <w:sz w:val="18"/>
    </w:rPr>
  </w:style>
  <w:style w:type="paragraph" w:customStyle="1" w:styleId="CodeBlock">
    <w:name w:val="Code Block"/>
    <w:basedOn w:val="Normal"/>
    <w:qFormat/>
    <w:pPr>
      <w:spacing w:after="0" w:before="0" w:line="240" w:lineRule="auto"/>
    </w:pPr>
    <w:rPr>
      <w:rFonts w:ascii="Liberation Mono" w:hAnsi="Liberation Mono" w:cs="Liberation Mono" w:eastAsia="Liberation Mono"/>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ntTable" Target="fontTable.xml"/><Relationship Id="rId4" Type="http://schemas.openxmlformats.org/officeDocument/2006/relationships/webSettings" Target="webSettings.xml"/><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footer" Target="footer4.xml"/><Relationship Id="rId2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13</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 SHELFBOT O'Dea</cp:lastModifiedBy>
  <cp:revision>41</cp:revision>
  <dcterms:created xsi:type="dcterms:W3CDTF">2026-02-09T05:22:00Z</dcterms:created>
  <dcterms:modified xsi:type="dcterms:W3CDTF">2026-05-13T22:20:00Z</dcterms:modified>
  <dc:title>Shelfbot Data Dive Specification</dc:title>
  <dc:subject>SB-SPEC-DIVE · Version 3.2 · 29 August 2026</dc:subject>
  <dc:creator>Shelfbot</dc:creator>
</cp:coreProperties>
</file>