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pPr>
        <w:pStyle w:val="Title"/>
        <w:spacing w:after="80"/>
      </w:pPr>
      <w:r>
        <w:rPr>
          <w:color w:val="0F172A"/>
        </w:rPr>
        <w:t>Shelfbot Racking Specification</w:t>
      </w:r>
    </w:p>
    <w:p>
      <w:pPr>
        <w:pBdr>
          <w:bottom w:val="single" w:sz="6" w:space="8" w:color="d9d9d9"/>
        </w:pBdr>
        <w:spacing w:after="280"/>
      </w:pPr>
      <w:r>
        <w:rPr>
          <w:color w:val="475569"/>
          <w:sz w:val="20"/>
        </w:rPr>
        <w:t>SB-SPEC-RACK · Version 3.1 · 14 August 2026</w:t>
      </w:r>
    </w:p>
    <w:p>
      <w:pPr>
        <w:pStyle w:val="Heading2"/>
      </w:pPr>
      <w:r>
        <w:t>1. Introduction</w:t>
      </w:r>
    </w:p>
    <w:p>
      <w:pPr>
        <w:spacing w:after="120"/>
      </w:pPr>
      <w:r>
        <w:t>This document defines the racking requirements for a Shelfbot Automated Storage &amp; Retrieval System (ASRS) installation. It is intended for warehouse designers, racking suppliers, installers, and commissioning technicians responsible for preparing a site for Shelfbot deployment.</w:t>
      </w:r>
    </w:p>
    <w:p>
      <w:pPr>
        <w:spacing w:after="120"/>
      </w:pPr>
      <w:r>
        <w:t>The racking system forms a structural component of the Shelfbot solution and must be designed, supplied, and installed in accordance with this specification.</w:t>
      </w:r>
    </w:p>
    <w:p>
      <w:pPr>
        <w:pBdr>
          <w:bottom w:val="single" w:sz="4" w:space="1" w:color="d9d9d9"/>
        </w:pBdr>
        <w:spacing w:after="200" w:before="120"/>
        <w:rPr>
          <w:sz w:val="4"/>
          <w:szCs w:val="4"/>
        </w:rPr>
      </w:pPr>
    </w:p>
    <w:p>
      <w:pPr>
        <w:pStyle w:val="Heading2"/>
      </w:pPr>
      <w:r>
        <w:t>2. Purpose &amp; Scope</w:t>
      </w:r>
    </w:p>
    <w:p>
      <w:pPr>
        <w:pStyle w:val="Heading3"/>
      </w:pPr>
      <w:r>
        <w:t>2.1 Purpose</w:t>
      </w:r>
    </w:p>
    <w:p>
      <w:pPr>
        <w:spacing w:after="120"/>
      </w:pPr>
      <w:r>
        <w:t>The purpose of this specification is to define the minimum racking infrastructure requirements necessary to safely and reliably operate the Shelfbot ASRS, including structural interfaces required for robot rails, tote storage, and electrical equipment mounting.</w:t>
      </w:r>
    </w:p>
    <w:p>
      <w:pPr>
        <w:pStyle w:val="Heading3"/>
      </w:pPr>
      <w:r>
        <w:t>2.2 Scope</w:t>
      </w:r>
    </w:p>
    <w:p>
      <w:pPr>
        <w:spacing w:after="120"/>
      </w:pPr>
      <w:r>
        <w:t xml:space="preserve">This document </w:t>
      </w:r>
      <w:r>
        <w:rPr>
          <w:b/>
        </w:rPr>
        <w:t>covers</w:t>
      </w:r>
      <w:r>
        <w:t>:</w:t>
      </w:r>
    </w:p>
    <w:p>
      <w:pPr>
        <w:pStyle w:val="ListBullet"/>
        <w:numPr>
          <w:ilvl w:val="0"/>
          <w:numId w:val="5"/>
        </w:numPr>
      </w:pPr>
      <w:r>
        <w:t>Pallet racking type and compliance requirements</w:t>
      </w:r>
    </w:p>
    <w:p>
      <w:pPr>
        <w:pStyle w:val="ListBullet"/>
        <w:numPr>
          <w:ilvl w:val="0"/>
          <w:numId w:val="5"/>
        </w:numPr>
      </w:pPr>
      <w:r>
        <w:t>Beam types and configurations</w:t>
      </w:r>
    </w:p>
    <w:p>
      <w:pPr>
        <w:pStyle w:val="ListBullet"/>
        <w:numPr>
          <w:ilvl w:val="0"/>
          <w:numId w:val="5"/>
        </w:numPr>
      </w:pPr>
      <w:r>
        <w:t>Frame dimensions and pitch</w:t>
      </w:r>
    </w:p>
    <w:p>
      <w:pPr>
        <w:pStyle w:val="ListBullet"/>
        <w:numPr>
          <w:ilvl w:val="0"/>
          <w:numId w:val="5"/>
        </w:numPr>
      </w:pPr>
      <w:r>
        <w:t>Mesh decking requirements</w:t>
      </w:r>
    </w:p>
    <w:p>
      <w:pPr>
        <w:pStyle w:val="ListBullet"/>
        <w:numPr>
          <w:ilvl w:val="0"/>
          <w:numId w:val="5"/>
        </w:numPr>
      </w:pPr>
      <w:r>
        <w:t>Base plate constraints</w:t>
      </w:r>
    </w:p>
    <w:p>
      <w:pPr>
        <w:pStyle w:val="ListBullet"/>
        <w:numPr>
          <w:ilvl w:val="0"/>
          <w:numId w:val="5"/>
        </w:numPr>
      </w:pPr>
      <w:r>
        <w:t>Aisle and clearance requirements</w:t>
      </w:r>
    </w:p>
    <w:p>
      <w:pPr>
        <w:pStyle w:val="ListBullet"/>
        <w:numPr>
          <w:ilvl w:val="0"/>
          <w:numId w:val="5"/>
        </w:numPr>
        <w:spacing w:after="120"/>
      </w:pPr>
      <w:r>
        <w:t>Installation notes specific to Shelfbot interfaces</w:t>
      </w:r>
    </w:p>
    <w:p>
      <w:pPr>
        <w:spacing w:after="120"/>
      </w:pPr>
      <w:r>
        <w:t xml:space="preserve">This document </w:t>
      </w:r>
      <w:r>
        <w:rPr>
          <w:b/>
        </w:rPr>
        <w:t>does not cover</w:t>
      </w:r>
      <w:r>
        <w:t>:</w:t>
      </w:r>
    </w:p>
    <w:p>
      <w:pPr>
        <w:pStyle w:val="ListBullet"/>
        <w:numPr>
          <w:ilvl w:val="0"/>
          <w:numId w:val="5"/>
        </w:numPr>
      </w:pPr>
      <w:r>
        <w:t>Robot mechanical or electrical specifications</w:t>
      </w:r>
    </w:p>
    <w:p>
      <w:pPr>
        <w:pStyle w:val="ListBullet"/>
        <w:numPr>
          <w:ilvl w:val="0"/>
          <w:numId w:val="5"/>
        </w:numPr>
      </w:pPr>
      <w:r>
        <w:t>Control systems, software, or networking</w:t>
      </w:r>
    </w:p>
    <w:p>
      <w:pPr>
        <w:pStyle w:val="ListBullet"/>
        <w:numPr>
          <w:ilvl w:val="0"/>
          <w:numId w:val="5"/>
        </w:numPr>
      </w:pPr>
      <w:r>
        <w:t xml:space="preserve">Warehouse fire engineering or sprinkler design for the fire protection design parameters of the Shelfbot system (tote construction, flue spaces, clearances, sprinkler design basis), refer to the </w:t>
      </w:r>
      <w:r>
        <w:rPr>
          <w:b/>
        </w:rPr>
        <w:t>Shelfbot Fire Protection</w:t>
      </w:r>
      <w:r>
        <w:t xml:space="preserve"> document</w:t>
      </w:r>
    </w:p>
    <w:p>
      <w:pPr>
        <w:pStyle w:val="ListBullet"/>
        <w:numPr>
          <w:ilvl w:val="0"/>
          <w:numId w:val="5"/>
        </w:numPr>
        <w:spacing w:after="120"/>
      </w:pPr>
      <w:r>
        <w:t>Floor slab design or certification</w:t>
      </w:r>
    </w:p>
    <w:p>
      <w:pPr>
        <w:spacing w:after="120"/>
      </w:pPr>
      <w:r>
        <w:t>For these topics, refer to the Shelfbot User Manual and relevant Shelfbot technical specifications.</w:t>
      </w:r>
    </w:p>
    <w:p>
      <w:pPr>
        <w:pBdr>
          <w:bottom w:val="single" w:sz="4" w:space="1" w:color="d9d9d9"/>
        </w:pBdr>
        <w:spacing w:after="200" w:before="120"/>
        <w:rPr>
          <w:sz w:val="4"/>
          <w:szCs w:val="4"/>
        </w:rPr>
      </w:pPr>
    </w:p>
    <w:p>
      <w:pPr>
        <w:pStyle w:val="Heading2"/>
      </w:pPr>
      <w:r>
        <w:t>3. Racking Overview</w:t>
      </w:r>
    </w:p>
    <w:p>
      <w:pPr>
        <w:pStyle w:val="ListBullet"/>
        <w:numPr>
          <w:ilvl w:val="0"/>
          <w:numId w:val="5"/>
        </w:numPr>
      </w:pPr>
      <w:r>
        <w:t xml:space="preserve">Shelfbot robots are installed on steel pallet racking compliant with </w:t>
      </w:r>
      <w:r>
        <w:rPr>
          <w:b/>
        </w:rPr>
        <w:t>AS4084:2023</w:t>
      </w:r>
      <w:r>
        <w:t>.</w:t>
      </w:r>
    </w:p>
    <w:p>
      <w:pPr>
        <w:pStyle w:val="ListBullet"/>
        <w:numPr>
          <w:ilvl w:val="0"/>
          <w:numId w:val="5"/>
        </w:numPr>
      </w:pPr>
      <w:r>
        <w:t xml:space="preserve">Each Shelfbot shelf typically stores </w:t>
      </w:r>
      <w:r>
        <w:rPr>
          <w:b/>
        </w:rPr>
        <w:t>five (5) totes</w:t>
      </w:r>
      <w:r>
        <w:t xml:space="preserve"> uniformly spaced across the bay.</w:t>
      </w:r>
    </w:p>
    <w:p>
      <w:pPr>
        <w:pStyle w:val="ListBullet"/>
        <w:numPr>
          <w:ilvl w:val="0"/>
          <w:numId w:val="5"/>
        </w:numPr>
      </w:pPr>
      <w:r>
        <w:t xml:space="preserve">Maximum tote weight (including contents): </w:t>
      </w:r>
      <w:r>
        <w:rPr>
          <w:b/>
        </w:rPr>
        <w:t>30 kg</w:t>
      </w:r>
    </w:p>
    <w:p>
      <w:pPr>
        <w:pStyle w:val="ListBullet"/>
        <w:numPr>
          <w:ilvl w:val="0"/>
          <w:numId w:val="5"/>
        </w:numPr>
      </w:pPr>
      <w:r>
        <w:t xml:space="preserve">Maximum shelf load: </w:t>
      </w:r>
      <w:r>
        <w:rPr>
          <w:b/>
        </w:rPr>
        <w:t>150 kg UDL</w:t>
      </w:r>
    </w:p>
    <w:p>
      <w:pPr>
        <w:pStyle w:val="ListBullet"/>
        <w:numPr>
          <w:ilvl w:val="0"/>
          <w:numId w:val="5"/>
        </w:numPr>
        <w:spacing w:after="120"/>
      </w:pPr>
      <w:r>
        <w:t xml:space="preserve">Shelfbot systems may be configured in </w:t>
      </w:r>
      <w:r>
        <w:rPr>
          <w:b/>
        </w:rPr>
        <w:t>single-row</w:t>
      </w:r>
      <w:r>
        <w:t xml:space="preserve"> or </w:t>
      </w:r>
      <w:r>
        <w:rPr>
          <w:b/>
        </w:rPr>
        <w:t>double-row</w:t>
      </w:r>
      <w:r>
        <w:t xml:space="preserve"> racking layouts, depending on site design.</w:t>
      </w:r>
    </w:p>
    <w:p>
      <w:pPr>
        <w:keepNext/>
        <w:spacing w:after="80"/>
        <w:jc w:val="center"/>
      </w:pPr>
      <w:r>
        <w:drawing>
          <wp:inline xmlns:a="http://schemas.openxmlformats.org/drawingml/2006/main" xmlns:pic="http://schemas.openxmlformats.org/drawingml/2006/picture">
            <wp:extent cx="5495294" cy="7200000"/>
            <wp:docPr id="1" name="Picture 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495294" cy="7200000"/>
                    </a:xfrm>
                    <a:prstGeom prst="rect"/>
                  </pic:spPr>
                </pic:pic>
              </a:graphicData>
            </a:graphic>
          </wp:inline>
        </w:drawing>
      </w:r>
    </w:p>
    <w:p>
      <w:pPr>
        <w:pStyle w:val="Caption"/>
      </w:pPr>
      <w:r>
        <w:rPr>
          <w:i/>
        </w:rPr>
        <w:t>Figure: Three Bots on Single Rows</w:t>
      </w:r>
    </w:p>
    <w:p>
      <w:pPr>
        <w:pBdr>
          <w:bottom w:val="single" w:sz="4" w:space="1" w:color="d9d9d9"/>
        </w:pBdr>
        <w:spacing w:after="200" w:before="120"/>
        <w:rPr>
          <w:sz w:val="4"/>
          <w:szCs w:val="4"/>
        </w:rPr>
      </w:pPr>
    </w:p>
    <w:p>
      <w:pPr>
        <w:pStyle w:val="Heading2"/>
      </w:pPr>
      <w:r>
        <w:t>4. Parts &amp; Hardware</w:t>
      </w:r>
    </w:p>
    <w:p>
      <w:pPr>
        <w:pStyle w:val="Heading3"/>
      </w:pPr>
      <w:r>
        <w:t>4.1 Beams (General)</w:t>
      </w:r>
    </w:p>
    <w:p>
      <w:pPr>
        <w:pStyle w:val="ListBullet"/>
        <w:numPr>
          <w:ilvl w:val="0"/>
          <w:numId w:val="5"/>
        </w:numPr>
      </w:pPr>
      <w:r>
        <w:t>Box or drop (step) beams are acceptable</w:t>
      </w:r>
    </w:p>
    <w:p>
      <w:pPr>
        <w:pStyle w:val="ListBullet"/>
        <w:numPr>
          <w:ilvl w:val="0"/>
          <w:numId w:val="5"/>
        </w:numPr>
      </w:pPr>
      <w:r>
        <w:t xml:space="preserve">Beam face heights: </w:t>
      </w:r>
      <w:r>
        <w:rPr>
          <w:b/>
        </w:rPr>
        <w:t>40 mm to 100 mm</w:t>
      </w:r>
      <w:r>
        <w:t xml:space="preserve"> (50mm recommended)</w:t>
      </w:r>
    </w:p>
    <w:p>
      <w:pPr>
        <w:pStyle w:val="ListBullet"/>
        <w:numPr>
          <w:ilvl w:val="0"/>
          <w:numId w:val="5"/>
        </w:numPr>
      </w:pPr>
      <w:r>
        <w:t>Open or closed section beams permitted</w:t>
      </w:r>
    </w:p>
    <w:p>
      <w:pPr>
        <w:pStyle w:val="ListBullet"/>
        <w:numPr>
          <w:ilvl w:val="0"/>
          <w:numId w:val="5"/>
        </w:numPr>
      </w:pPr>
      <w:r>
        <w:t xml:space="preserve">All beams within a row must be the same height, tolerance </w:t>
      </w:r>
      <w:r>
        <w:rPr>
          <w:b/>
        </w:rPr>
        <w:t>±1 mm</w:t>
      </w:r>
    </w:p>
    <w:p>
      <w:pPr>
        <w:pStyle w:val="ListBullet"/>
        <w:numPr>
          <w:ilvl w:val="0"/>
          <w:numId w:val="5"/>
        </w:numPr>
        <w:spacing w:after="120"/>
      </w:pPr>
      <w:r>
        <w:t>All beams shall be load-rated and certified by the racking supplier to exceed the maximum Shelfbot shelf load, including dynamic and automation factors, in accordance with AS4084.</w:t>
      </w:r>
    </w:p>
    <w:p>
      <w:pPr>
        <w:pStyle w:val="Heading3"/>
      </w:pPr>
      <w:r>
        <w:t>4.2 Frames (Uprights)</w:t>
      </w:r>
    </w:p>
    <w:p>
      <w:pPr>
        <w:pStyle w:val="ListBullet"/>
        <w:numPr>
          <w:ilvl w:val="0"/>
          <w:numId w:val="5"/>
        </w:numPr>
      </w:pPr>
      <w:r>
        <w:t xml:space="preserve">Height range: </w:t>
      </w:r>
      <w:r>
        <w:rPr>
          <w:b/>
        </w:rPr>
        <w:t>4 m to 10 m</w:t>
      </w:r>
    </w:p>
    <w:p>
      <w:pPr>
        <w:pStyle w:val="ListBullet"/>
        <w:numPr>
          <w:ilvl w:val="0"/>
          <w:numId w:val="5"/>
        </w:numPr>
      </w:pPr>
      <w:r>
        <w:t xml:space="preserve">Frame depth: </w:t>
      </w:r>
      <w:r>
        <w:rPr>
          <w:b/>
        </w:rPr>
        <w:t>838 mm</w:t>
      </w:r>
    </w:p>
    <w:p>
      <w:pPr>
        <w:pStyle w:val="ListBullet"/>
        <w:numPr>
          <w:ilvl w:val="0"/>
          <w:numId w:val="5"/>
        </w:numPr>
      </w:pPr>
      <w:r>
        <w:t>Upright pitch options:</w:t>
      </w:r>
    </w:p>
    <w:p>
      <w:pPr>
        <w:pStyle w:val="ListBullet"/>
        <w:numPr>
          <w:ilvl w:val="1"/>
          <w:numId w:val="5"/>
        </w:numPr>
      </w:pPr>
      <w:r>
        <w:t>50 mm</w:t>
      </w:r>
    </w:p>
    <w:p>
      <w:pPr>
        <w:pStyle w:val="ListBullet"/>
        <w:numPr>
          <w:ilvl w:val="1"/>
          <w:numId w:val="5"/>
        </w:numPr>
      </w:pPr>
      <w:r>
        <w:t>75 mm</w:t>
      </w:r>
    </w:p>
    <w:p>
      <w:pPr>
        <w:pStyle w:val="ListBullet"/>
        <w:numPr>
          <w:ilvl w:val="1"/>
          <w:numId w:val="5"/>
        </w:numPr>
      </w:pPr>
      <w:r>
        <w:t>76.2 mm (3")</w:t>
      </w:r>
    </w:p>
    <w:p>
      <w:pPr>
        <w:pStyle w:val="ListBullet"/>
        <w:numPr>
          <w:ilvl w:val="0"/>
          <w:numId w:val="5"/>
        </w:numPr>
        <w:spacing w:after="120"/>
      </w:pPr>
      <w:r>
        <w:t>Racking to be installed plumb and square in accordance with AS4084 tolerances.</w:t>
      </w:r>
    </w:p>
    <w:p>
      <w:pPr>
        <w:pStyle w:val="Heading3"/>
      </w:pPr>
      <w:r>
        <w:t>4.3 Bottom Beam</w:t>
      </w:r>
    </w:p>
    <w:p>
      <w:pPr>
        <w:spacing w:after="120"/>
      </w:pPr>
      <w:r>
        <w:t>The bottom beam should be installed as low as practical to maximise grid density, with a required minimum of ~300 mm above floor level.</w:t>
      </w:r>
    </w:p>
    <w:p>
      <w:pPr>
        <w:pStyle w:val="ListBullet"/>
        <w:numPr>
          <w:ilvl w:val="0"/>
          <w:numId w:val="5"/>
        </w:numPr>
      </w:pPr>
      <w:r>
        <w:t>Standard beam typically 50 mm</w:t>
      </w:r>
    </w:p>
    <w:p>
      <w:pPr>
        <w:pStyle w:val="ListBullet"/>
        <w:numPr>
          <w:ilvl w:val="0"/>
          <w:numId w:val="5"/>
        </w:numPr>
        <w:spacing w:after="120"/>
      </w:pPr>
      <w:r>
        <w:t xml:space="preserve">Installed height: </w:t>
      </w:r>
      <w:r>
        <w:rPr>
          <w:b/>
        </w:rPr>
        <w:t>~300 mm minimum above floor level</w:t>
      </w:r>
    </w:p>
    <w:p>
      <w:pPr>
        <w:pStyle w:val="Heading3"/>
      </w:pPr>
      <w:r>
        <w:t>4.4 Top Rail</w:t>
      </w:r>
    </w:p>
    <w:p>
      <w:pPr>
        <w:pStyle w:val="ListBullet"/>
        <w:numPr>
          <w:ilvl w:val="0"/>
          <w:numId w:val="5"/>
        </w:numPr>
      </w:pPr>
      <w:r>
        <w:t xml:space="preserve">Shelfbot will provide a roll-formed custom </w:t>
      </w:r>
      <w:r>
        <w:rPr>
          <w:b/>
        </w:rPr>
        <w:t>top rail</w:t>
      </w:r>
      <w:r>
        <w:t xml:space="preserve"> that sits flush with the top of the upright and acts as a rail for the robots.</w:t>
      </w:r>
    </w:p>
    <w:p>
      <w:pPr>
        <w:pStyle w:val="ListBullet"/>
        <w:numPr>
          <w:ilvl w:val="0"/>
          <w:numId w:val="5"/>
        </w:numPr>
      </w:pPr>
      <w:r>
        <w:t xml:space="preserve">Each top rail is fitted with a </w:t>
      </w:r>
      <w:r>
        <w:rPr>
          <w:b/>
        </w:rPr>
        <w:t>rack upright cap</w:t>
      </w:r>
      <w:r>
        <w:t xml:space="preserve"> mounted to the top of the racking uprights. Cap dimensions: </w:t>
      </w:r>
      <w:r>
        <w:rPr>
          <w:b/>
        </w:rPr>
        <w:t>200 mm long × 80 mm deep × 200 mm high</w:t>
      </w:r>
      <w:r>
        <w:t>. Rack upright caps are fabricated and supplied by Shelfbot.</w:t>
      </w:r>
    </w:p>
    <w:p>
      <w:pPr>
        <w:pStyle w:val="ListBullet"/>
        <w:numPr>
          <w:ilvl w:val="0"/>
          <w:numId w:val="5"/>
        </w:numPr>
      </w:pPr>
      <w:r>
        <w:t xml:space="preserve">Each upright-top assembly requires </w:t>
      </w:r>
      <w:r>
        <w:rPr>
          <w:b/>
        </w:rPr>
        <w:t>six bolts with mudguard washers</w:t>
      </w:r>
      <w:r>
        <w:t xml:space="preserve">, all to the same specification as the base-plate fixings, supplied and fitted by the racking company during installation (the same bolts it already uses for the base plates): </w:t>
      </w:r>
      <w:r>
        <w:rPr>
          <w:b/>
        </w:rPr>
        <w:t>two</w:t>
      </w:r>
      <w:r>
        <w:t xml:space="preserve"> securing the rack upright cap to the upright, and </w:t>
      </w:r>
      <w:r>
        <w:rPr>
          <w:b/>
        </w:rPr>
        <w:t>four</w:t>
      </w:r>
      <w:r>
        <w:t xml:space="preserve"> securing the top rail to the cap.</w:t>
      </w:r>
    </w:p>
    <w:p>
      <w:pPr>
        <w:pStyle w:val="ListBullet"/>
        <w:numPr>
          <w:ilvl w:val="0"/>
          <w:numId w:val="5"/>
        </w:numPr>
      </w:pPr>
      <w:r>
        <w:t xml:space="preserve">The pair of parallel bolt holes (coffin slots) in the upright face must be unobstructed at a height between </w:t>
      </w:r>
      <w:r>
        <w:rPr>
          <w:b/>
        </w:rPr>
        <w:t>50 mm</w:t>
      </w:r>
      <w:r>
        <w:t xml:space="preserve"> and </w:t>
      </w:r>
      <w:r>
        <w:rPr>
          <w:b/>
        </w:rPr>
        <w:t>100 mm</w:t>
      </w:r>
      <w:r>
        <w:t xml:space="preserve"> below the top of the upright — one cap fixing through each.</w:t>
      </w:r>
    </w:p>
    <w:p>
      <w:pPr>
        <w:pStyle w:val="ListBullet"/>
        <w:numPr>
          <w:ilvl w:val="0"/>
          <w:numId w:val="5"/>
        </w:numPr>
      </w:pPr>
      <w:r>
        <w:t>Rails and caps will be shipped directly to the racking company or client installation site.</w:t>
      </w:r>
    </w:p>
    <w:p>
      <w:pPr>
        <w:pStyle w:val="ListBullet"/>
        <w:numPr>
          <w:ilvl w:val="0"/>
          <w:numId w:val="5"/>
        </w:numPr>
      </w:pPr>
      <w:r>
        <w:t xml:space="preserve">The preferred arrangement is for the racking company to install the top rails and caps, subject to capability and written agreement between the client, the racking company, and Shelfbot; otherwise Shelfbot will perform the installation (see </w:t>
      </w:r>
      <w:r>
        <w:rPr>
          <w:i/>
        </w:rPr>
        <w:t>Notes &amp; Responsibilities</w:t>
      </w:r>
      <w:r>
        <w:t>).</w:t>
      </w:r>
    </w:p>
    <w:p>
      <w:pPr>
        <w:pStyle w:val="ListBullet"/>
        <w:numPr>
          <w:ilvl w:val="0"/>
          <w:numId w:val="5"/>
        </w:numPr>
        <w:spacing w:after="120"/>
      </w:pPr>
      <w:r>
        <w:t>Shelfbot will provide installation instructions for these rails.</w:t>
      </w:r>
    </w:p>
    <w:p>
      <w:pPr>
        <w:keepNext/>
        <w:pBdr>
          <w:left w:val="single" w:sz="12" w:space="8" w:color="d9d9d9"/>
        </w:pBdr>
        <w:spacing w:after="80"/>
        <w:ind w:left="340"/>
        <w:jc w:val="center"/>
      </w:pPr>
      <w:r>
        <w:rPr>
          <w:color w:val="475569"/>
        </w:rPr>
        <w:drawing>
          <wp:inline xmlns:a="http://schemas.openxmlformats.org/drawingml/2006/main" xmlns:pic="http://schemas.openxmlformats.org/drawingml/2006/picture">
            <wp:extent cx="5760000" cy="5535412"/>
            <wp:docPr id="2" name="Picture 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760000" cy="5535412"/>
                    </a:xfrm>
                    <a:prstGeom prst="rect"/>
                  </pic:spPr>
                </pic:pic>
              </a:graphicData>
            </a:graphic>
          </wp:inline>
        </w:drawing>
      </w:r>
    </w:p>
    <w:p>
      <w:pPr>
        <w:pBdr>
          <w:left w:val="single" w:sz="12" w:space="8" w:color="d9d9d9"/>
        </w:pBdr>
        <w:spacing w:after="120"/>
        <w:ind w:left="340"/>
      </w:pPr>
      <w:r>
        <w:rPr>
          <w:b/>
          <w:color w:val="475569"/>
        </w:rPr>
        <w:t>Top rail profile and rack upright cap detail</w:t>
      </w:r>
    </w:p>
    <w:p>
      <w:pPr>
        <w:pStyle w:val="Heading3"/>
      </w:pPr>
      <w:r>
        <w:t>4.5 Bottom Rail (Robot Bottom Rail)</w:t>
      </w:r>
    </w:p>
    <w:p>
      <w:pPr>
        <w:pStyle w:val="ListBullet"/>
        <w:numPr>
          <w:ilvl w:val="0"/>
          <w:numId w:val="5"/>
        </w:numPr>
      </w:pPr>
      <w:r>
        <w:t>Shelfbot will provide a roll-formed steel bottom rail that is screw-fixed to the concrete slab.</w:t>
      </w:r>
    </w:p>
    <w:p>
      <w:pPr>
        <w:pStyle w:val="ListBullet"/>
        <w:numPr>
          <w:ilvl w:val="0"/>
          <w:numId w:val="5"/>
        </w:numPr>
      </w:pPr>
      <w:r>
        <w:t xml:space="preserve">The robot </w:t>
      </w:r>
      <w:r>
        <w:rPr>
          <w:b/>
        </w:rPr>
        <w:t>drag chain</w:t>
      </w:r>
      <w:r>
        <w:t xml:space="preserve"> is housed within the bottom rail profile.</w:t>
      </w:r>
    </w:p>
    <w:p>
      <w:pPr>
        <w:pStyle w:val="ListBullet"/>
        <w:numPr>
          <w:ilvl w:val="0"/>
          <w:numId w:val="5"/>
        </w:numPr>
      </w:pPr>
      <w:r>
        <w:t xml:space="preserve">Bottom rails are installed at a clear outside-to-outside spacing of </w:t>
      </w:r>
      <w:r>
        <w:rPr>
          <w:b/>
        </w:rPr>
        <w:t>1050 mm</w:t>
      </w:r>
      <w:r>
        <w:t xml:space="preserve"> to provide room for the drag chain channel as shown below. The spacing is also designed to fit a narrow-aisle scissor lift up to </w:t>
      </w:r>
      <w:r>
        <w:rPr>
          <w:b/>
        </w:rPr>
        <w:t>810 mm</w:t>
      </w:r>
      <w:r>
        <w:t xml:space="preserve"> wide, allowing it to drive down the aisle between the bottom rails for installation and maintenance access.</w:t>
      </w:r>
    </w:p>
    <w:p>
      <w:pPr>
        <w:pStyle w:val="ListBullet"/>
        <w:numPr>
          <w:ilvl w:val="0"/>
          <w:numId w:val="5"/>
        </w:numPr>
      </w:pPr>
      <w:r>
        <w:t>Rails are fabricated and supplied by Shelfbot.</w:t>
      </w:r>
    </w:p>
    <w:p>
      <w:pPr>
        <w:pStyle w:val="ListBullet"/>
        <w:numPr>
          <w:ilvl w:val="0"/>
          <w:numId w:val="5"/>
        </w:numPr>
        <w:spacing w:after="120"/>
      </w:pPr>
      <w:r>
        <w:t xml:space="preserve">The preferred arrangement is for the racking company to install the bottom rails, subject to capability and written agreement between the client, the racking company, and Shelfbot; otherwise Shelfbot will perform the installation (see </w:t>
      </w:r>
      <w:r>
        <w:rPr>
          <w:i/>
        </w:rPr>
        <w:t>Notes &amp; Responsibilities</w:t>
      </w:r>
      <w:r>
        <w:t>).</w:t>
      </w:r>
    </w:p>
    <w:p>
      <w:pPr>
        <w:keepNext/>
        <w:pBdr>
          <w:left w:val="single" w:sz="12" w:space="8" w:color="d9d9d9"/>
        </w:pBdr>
        <w:spacing w:after="80"/>
        <w:ind w:left="340"/>
        <w:jc w:val="center"/>
      </w:pPr>
      <w:r>
        <w:rPr>
          <w:color w:val="475569"/>
        </w:rPr>
        <w:drawing>
          <wp:inline xmlns:a="http://schemas.openxmlformats.org/drawingml/2006/main" xmlns:pic="http://schemas.openxmlformats.org/drawingml/2006/picture">
            <wp:extent cx="5760000" cy="4143600"/>
            <wp:docPr id="3" name="Picture 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760000" cy="4143600"/>
                    </a:xfrm>
                    <a:prstGeom prst="rect"/>
                  </pic:spPr>
                </pic:pic>
              </a:graphicData>
            </a:graphic>
          </wp:inline>
        </w:drawing>
      </w:r>
    </w:p>
    <w:p>
      <w:pPr>
        <w:pBdr>
          <w:left w:val="single" w:sz="12" w:space="8" w:color="d9d9d9"/>
        </w:pBdr>
        <w:spacing w:after="120"/>
        <w:ind w:left="340"/>
      </w:pPr>
      <w:r>
        <w:rPr>
          <w:b/>
          <w:color w:val="475569"/>
        </w:rPr>
        <w:t>Bottom rail profile</w:t>
      </w:r>
    </w:p>
    <w:p>
      <w:pPr>
        <w:pStyle w:val="Heading3"/>
      </w:pPr>
      <w:r>
        <w:t>4.6 Mesh Decks</w:t>
      </w:r>
    </w:p>
    <w:p>
      <w:pPr>
        <w:pStyle w:val="ListBullet"/>
        <w:numPr>
          <w:ilvl w:val="0"/>
          <w:numId w:val="5"/>
        </w:numPr>
      </w:pPr>
      <w:r>
        <w:t>Standard waterfall wire mesh decking</w:t>
      </w:r>
    </w:p>
    <w:p>
      <w:pPr>
        <w:pStyle w:val="ListBullet"/>
        <w:numPr>
          <w:ilvl w:val="0"/>
          <w:numId w:val="5"/>
        </w:numPr>
      </w:pPr>
      <w:r>
        <w:t xml:space="preserve">Typical size: </w:t>
      </w:r>
      <w:r>
        <w:rPr>
          <w:b/>
        </w:rPr>
        <w:t>1250 mm × 838 mm</w:t>
      </w:r>
    </w:p>
    <w:p>
      <w:pPr>
        <w:pStyle w:val="ListBullet"/>
        <w:numPr>
          <w:ilvl w:val="0"/>
          <w:numId w:val="5"/>
        </w:numPr>
      </w:pPr>
      <w:r>
        <w:t xml:space="preserve">Typically </w:t>
      </w:r>
      <w:r>
        <w:rPr>
          <w:b/>
        </w:rPr>
        <w:t>2 mesh decks per shelf</w:t>
      </w:r>
    </w:p>
    <w:p>
      <w:pPr>
        <w:pStyle w:val="ListBullet"/>
        <w:numPr>
          <w:ilvl w:val="0"/>
          <w:numId w:val="5"/>
        </w:numPr>
      </w:pPr>
      <w:r>
        <w:t xml:space="preserve">Recommended </w:t>
      </w:r>
      <w:r>
        <w:rPr>
          <w:b/>
        </w:rPr>
        <w:t>4 support channels, 1.8 mm thick</w:t>
      </w:r>
    </w:p>
    <w:p>
      <w:pPr>
        <w:pStyle w:val="ListBullet"/>
        <w:numPr>
          <w:ilvl w:val="0"/>
          <w:numId w:val="5"/>
        </w:numPr>
      </w:pPr>
      <w:r>
        <w:t xml:space="preserve">Wire diameter: </w:t>
      </w:r>
      <w:r>
        <w:rPr>
          <w:b/>
        </w:rPr>
        <w:t>5 mm nominal</w:t>
      </w:r>
      <w:r>
        <w:t xml:space="preserve"> (min 4 mm, max 6 mm)</w:t>
      </w:r>
    </w:p>
    <w:p>
      <w:pPr>
        <w:pStyle w:val="ListBullet"/>
        <w:numPr>
          <w:ilvl w:val="0"/>
          <w:numId w:val="5"/>
        </w:numPr>
      </w:pPr>
      <w:r>
        <w:t xml:space="preserve">Aperture: </w:t>
      </w:r>
      <w:r>
        <w:rPr>
          <w:b/>
        </w:rPr>
        <w:t>100 × 50 mm</w:t>
      </w:r>
    </w:p>
    <w:p>
      <w:pPr>
        <w:pStyle w:val="ListBullet"/>
        <w:numPr>
          <w:ilvl w:val="0"/>
          <w:numId w:val="5"/>
        </w:numPr>
      </w:pPr>
      <w:r>
        <w:t xml:space="preserve">Maximum depth: </w:t>
      </w:r>
      <w:r>
        <w:rPr>
          <w:b/>
        </w:rPr>
        <w:t>860 mm</w:t>
      </w:r>
    </w:p>
    <w:p>
      <w:pPr>
        <w:pStyle w:val="ListBullet"/>
        <w:numPr>
          <w:ilvl w:val="0"/>
          <w:numId w:val="5"/>
        </w:numPr>
        <w:spacing w:after="120"/>
      </w:pPr>
      <w:r>
        <w:t xml:space="preserve">Maximum mesh UDL: </w:t>
      </w:r>
      <w:r>
        <w:rPr>
          <w:b/>
        </w:rPr>
        <w:t>1000 kg</w:t>
      </w:r>
    </w:p>
    <w:p>
      <w:pPr>
        <w:spacing w:after="120"/>
      </w:pPr>
      <w:r>
        <w:t>Mesh decks must be rated and certified to suit the beam span and loading.</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0969da"/>
              <w:bottom w:val="nil"/>
              <w:right w:val="nil"/>
            </w:tcBorders>
            <w:shd w:fill="ddf4ff" w:val="clear"/>
            <w:tcMar>
              <w:top w:w="100" w:type="dxa"/>
              <w:bottom w:w="100" w:type="dxa"/>
              <w:start w:w="160" w:type="dxa"/>
              <w:end w:w="160" w:type="dxa"/>
            </w:tcMar>
          </w:tcPr>
          <w:p>
            <w:pPr>
              <w:keepNext/>
              <w:spacing w:after="60"/>
            </w:pPr>
            <w:r>
              <w:rPr>
                <w:b/>
                <w:color w:val="0969DA"/>
                <w:sz w:val="19"/>
              </w:rPr>
              <w:t>Note</w:t>
            </w:r>
          </w:p>
          <w:p>
            <w:pPr>
              <w:spacing w:after="0"/>
            </w:pPr>
            <w:r>
              <w:t>The specified mesh geometry provides a uniformly open area of not less than 70% (nominally 84–89% across the permitted wire diameter range). This is a fire protection requirement - solid shelves or decking with less than 70% open area must not be substituted. Refer to the Shelfbot Fire Protection document.</w:t>
            </w:r>
          </w:p>
        </w:tc>
      </w:tr>
    </w:tbl>
    <w:p>
      <w:pPr>
        <w:spacing w:before="0" w:after="0"/>
        <w:rPr>
          <w:sz w:val="8"/>
          <w:szCs w:val="8"/>
        </w:rPr>
      </w:pPr>
    </w:p>
    <w:p>
      <w:pPr>
        <w:pStyle w:val="Heading3"/>
      </w:pPr>
      <w:r>
        <w:t>4.7 Base Plates</w:t>
      </w:r>
    </w:p>
    <w:p>
      <w:pPr>
        <w:pStyle w:val="ListBullet"/>
        <w:numPr>
          <w:ilvl w:val="0"/>
          <w:numId w:val="5"/>
        </w:numPr>
      </w:pPr>
      <w:r>
        <w:t xml:space="preserve">Maximum projection: </w:t>
      </w:r>
      <w:r>
        <w:rPr>
          <w:b/>
        </w:rPr>
        <w:t>50 mm</w:t>
      </w:r>
      <w:r>
        <w:t xml:space="preserve"> beyond upright profile</w:t>
      </w:r>
    </w:p>
    <w:p>
      <w:pPr>
        <w:pStyle w:val="ListBullet"/>
        <w:numPr>
          <w:ilvl w:val="0"/>
          <w:numId w:val="5"/>
        </w:numPr>
        <w:spacing w:after="120"/>
      </w:pPr>
      <w:r>
        <w:t>Plates to be:</w:t>
      </w:r>
    </w:p>
    <w:p>
      <w:pPr>
        <w:pStyle w:val="ListBullet"/>
        <w:numPr>
          <w:ilvl w:val="1"/>
          <w:numId w:val="5"/>
        </w:numPr>
      </w:pPr>
      <w:r>
        <w:t>Mechanically anchored to concrete</w:t>
      </w:r>
    </w:p>
    <w:p>
      <w:pPr>
        <w:pStyle w:val="ListBullet"/>
        <w:numPr>
          <w:ilvl w:val="1"/>
          <w:numId w:val="5"/>
        </w:numPr>
      </w:pPr>
      <w:r>
        <w:t>Shimmed as required for levelling</w:t>
      </w:r>
    </w:p>
    <w:p>
      <w:pPr>
        <w:pStyle w:val="ListBullet"/>
        <w:numPr>
          <w:ilvl w:val="1"/>
          <w:numId w:val="5"/>
        </w:numPr>
        <w:spacing w:after="120"/>
      </w:pPr>
      <w:r>
        <w:t>Suitable for automated system loads</w:t>
      </w:r>
    </w:p>
    <w:p>
      <w:pPr>
        <w:spacing w:after="120"/>
      </w:pPr>
      <w:r>
        <w:t xml:space="preserve">Extended or seismic-style base plates are </w:t>
      </w:r>
      <w:r>
        <w:rPr>
          <w:b/>
        </w:rPr>
        <w:t>not permitted</w:t>
      </w:r>
      <w:r>
        <w:t xml:space="preserve"> unless approved by Shelfbot.</w:t>
      </w:r>
    </w:p>
    <w:p>
      <w:pPr>
        <w:pStyle w:val="Heading3"/>
      </w:pPr>
      <w:r>
        <w:t>4.8 Back-of-Rack Guarding (Outer Rows)</w:t>
      </w:r>
    </w:p>
    <w:p>
      <w:pPr>
        <w:spacing w:after="120"/>
      </w:pPr>
      <w:r>
        <w:t xml:space="preserve">Outer racking rows must be fitted with a </w:t>
      </w:r>
      <w:r>
        <w:rPr>
          <w:b/>
        </w:rPr>
        <w:t>backing system</w:t>
      </w:r>
      <w:r>
        <w:t xml:space="preserve"> (e.g., Manta Mesh Backing System) with 225 mm brackets installed to a minimum height of 2.5m. The remaining height of the outer racking rows must have wire mesh 50mm x 50mm or 100mm x 100mm installed to the </w:t>
      </w:r>
      <w:r>
        <w:rPr>
          <w:b/>
        </w:rPr>
        <w:t>full height</w:t>
      </w:r>
      <w:r>
        <w:t xml:space="preserve"> of the installed racking.</w:t>
      </w:r>
    </w:p>
    <w:p>
      <w:pPr>
        <w:pBdr>
          <w:bottom w:val="single" w:sz="4" w:space="1" w:color="d9d9d9"/>
        </w:pBdr>
        <w:spacing w:after="200" w:before="120"/>
        <w:rPr>
          <w:sz w:val="4"/>
          <w:szCs w:val="4"/>
        </w:rPr>
      </w:pPr>
    </w:p>
    <w:p>
      <w:pPr>
        <w:pStyle w:val="Heading2"/>
      </w:pPr>
      <w:r>
        <w:t>5. Installation Requirements</w:t>
      </w:r>
    </w:p>
    <w:p>
      <w:pPr>
        <w:pStyle w:val="Heading3"/>
      </w:pPr>
      <w:r>
        <w:t>5.1 Aisle Width &amp; Row Spacing</w:t>
      </w:r>
    </w:p>
    <w:p>
      <w:pPr>
        <w:pStyle w:val="ListBullet"/>
        <w:numPr>
          <w:ilvl w:val="0"/>
          <w:numId w:val="5"/>
        </w:numPr>
      </w:pPr>
      <w:r>
        <w:t xml:space="preserve">Aisle width: </w:t>
      </w:r>
      <w:r>
        <w:rPr>
          <w:b/>
        </w:rPr>
        <w:t>1200 mm</w:t>
      </w:r>
      <w:r>
        <w:t xml:space="preserve"> upright-to-upright. Shelfbot operating envelope and rail clearances are designed relative to this nominal dimension. Minor variation due to installation tolerances is acceptable provided minimum clearances are maintained.</w:t>
      </w:r>
    </w:p>
    <w:p>
      <w:pPr>
        <w:pStyle w:val="ListBullet"/>
        <w:numPr>
          <w:ilvl w:val="0"/>
          <w:numId w:val="5"/>
        </w:numPr>
      </w:pPr>
      <w:r>
        <w:t xml:space="preserve">Bottom rails are installed at a minimum clear outside-to-outside distance of </w:t>
      </w:r>
      <w:r>
        <w:rPr>
          <w:b/>
        </w:rPr>
        <w:t>1050 mm</w:t>
      </w:r>
      <w:r>
        <w:t xml:space="preserve">. This spacing provides room for the drag chain housed within the bottom rail profile, and is designed to fit a narrow-aisle scissor lift up to </w:t>
      </w:r>
      <w:r>
        <w:rPr>
          <w:b/>
        </w:rPr>
        <w:t>810 mm</w:t>
      </w:r>
      <w:r>
        <w:t xml:space="preserve"> wide driving down the aisle between the bottom rails for installation and maintenance access.</w:t>
      </w:r>
    </w:p>
    <w:p>
      <w:pPr>
        <w:pStyle w:val="ListBullet"/>
        <w:numPr>
          <w:ilvl w:val="0"/>
          <w:numId w:val="5"/>
        </w:numPr>
      </w:pPr>
      <w:r>
        <w:t xml:space="preserve">A minimum </w:t>
      </w:r>
      <w:r>
        <w:rPr>
          <w:b/>
        </w:rPr>
        <w:t>3 m</w:t>
      </w:r>
      <w:r>
        <w:t xml:space="preserve"> clear zone must be maintained at both the front and rear of the grid to provide scissor lift access.</w:t>
      </w:r>
    </w:p>
    <w:p>
      <w:pPr>
        <w:pStyle w:val="ListBullet"/>
        <w:numPr>
          <w:ilvl w:val="0"/>
          <w:numId w:val="5"/>
        </w:numPr>
      </w:pPr>
      <w:r>
        <w:t>Bollard requirements (locations, type, supply, and installation) are to be discussed and agreed between the racking supplier and the customer.</w:t>
      </w:r>
    </w:p>
    <w:p>
      <w:pPr>
        <w:pStyle w:val="ListBullet"/>
        <w:numPr>
          <w:ilvl w:val="0"/>
          <w:numId w:val="5"/>
        </w:numPr>
      </w:pPr>
      <w:r>
        <w:t>No racking components may encroach into the Shelfbot operating envelope.</w:t>
      </w:r>
    </w:p>
    <w:p>
      <w:pPr>
        <w:pStyle w:val="ListBullet"/>
        <w:numPr>
          <w:ilvl w:val="0"/>
          <w:numId w:val="5"/>
        </w:numPr>
        <w:spacing w:after="120"/>
      </w:pPr>
      <w:r>
        <w:t xml:space="preserve">Double-row layouts: a minimum </w:t>
      </w:r>
      <w:r>
        <w:rPr>
          <w:b/>
        </w:rPr>
        <w:t>150 mm</w:t>
      </w:r>
      <w:r>
        <w:t xml:space="preserve"> clear longitudinal flue space must be maintained between back-to-back rows, kept free of obstructions for the full height of the racking (fire protection requirement - refer to the Shelfbot Fire Protection document).</w:t>
      </w:r>
    </w:p>
    <w:p>
      <w:pPr>
        <w:keepNext/>
        <w:spacing w:after="80"/>
        <w:jc w:val="center"/>
      </w:pPr>
      <w:r>
        <w:drawing>
          <wp:inline xmlns:a="http://schemas.openxmlformats.org/drawingml/2006/main" xmlns:pic="http://schemas.openxmlformats.org/drawingml/2006/picture">
            <wp:extent cx="5760000" cy="3072977"/>
            <wp:docPr id="4" name="Picture 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760000" cy="3072977"/>
                    </a:xfrm>
                    <a:prstGeom prst="rect"/>
                  </pic:spPr>
                </pic:pic>
              </a:graphicData>
            </a:graphic>
          </wp:inline>
        </w:drawing>
      </w:r>
    </w:p>
    <w:p>
      <w:pPr>
        <w:pStyle w:val="Heading3"/>
      </w:pPr>
      <w:r>
        <w:t>5.2 Vertical Spacing</w:t>
      </w:r>
    </w:p>
    <w:p>
      <w:pPr>
        <w:spacing w:after="120"/>
      </w:pPr>
      <w:r>
        <w:t xml:space="preserve">Shelfbot operates only with Shelfbot-supplied totes. The standard tote is </w:t>
      </w:r>
      <w:r>
        <w:rPr>
          <w:b/>
        </w:rPr>
        <w:t>820 mm long × 420 mm wide</w:t>
      </w:r>
      <w:r>
        <w:t xml:space="preserve">; length may range from </w:t>
      </w:r>
      <w:r>
        <w:rPr>
          <w:b/>
        </w:rPr>
        <w:t>700 mm to 950 mm</w:t>
      </w:r>
      <w:r>
        <w:t xml:space="preserve"> and height from </w:t>
      </w:r>
      <w:r>
        <w:rPr>
          <w:b/>
        </w:rPr>
        <w:t>150 mm to 350 mm</w:t>
      </w:r>
      <w:r>
        <w:t xml:space="preserve"> by customer requirement. Width is fixed at </w:t>
      </w:r>
      <w:r>
        <w:rPr>
          <w:b/>
        </w:rPr>
        <w:t>420 mm</w:t>
      </w:r>
      <w:r>
        <w:t>.</w:t>
      </w:r>
    </w:p>
    <w:p>
      <w:pPr>
        <w:spacing w:after="120"/>
      </w:pPr>
      <w:r>
        <w:t>The loaded tote must sit fully within the rack footprint and must not protrude into the aisle.</w:t>
      </w:r>
    </w:p>
    <w:p>
      <w:pPr>
        <w:spacing w:after="120"/>
      </w:pPr>
      <w:r>
        <w:t xml:space="preserve">Vertical pitch must provide a minimum </w:t>
      </w:r>
      <w:r>
        <w:rPr>
          <w:b/>
        </w:rPr>
        <w:t>40 mm</w:t>
      </w:r>
      <w:r>
        <w:t xml:space="preserve"> clearance between the top of the tote and the underside of the beam above, for tote handling and robot tolerances.</w:t>
      </w:r>
    </w:p>
    <w:p>
      <w:pPr>
        <w:pStyle w:val="Heading3"/>
      </w:pPr>
      <w:r>
        <w:t>5.3 Base Plate</w:t>
      </w:r>
    </w:p>
    <w:p>
      <w:pPr>
        <w:spacing w:after="120"/>
      </w:pPr>
      <w:r>
        <w:t xml:space="preserve">Plate to be anchor-fixed to concrete and shimmed as required. Suitable for automated system loads. Maximum </w:t>
      </w:r>
      <w:r>
        <w:rPr>
          <w:b/>
        </w:rPr>
        <w:t>50 mm</w:t>
      </w:r>
      <w:r>
        <w:t xml:space="preserve"> beyond upright profile.</w:t>
      </w:r>
    </w:p>
    <w:p>
      <w:pPr>
        <w:pStyle w:val="Heading3"/>
      </w:pPr>
      <w:r>
        <w:t>5.4 Front Frame Requirement</w:t>
      </w:r>
    </w:p>
    <w:p>
      <w:pPr>
        <w:spacing w:after="120"/>
      </w:pPr>
      <w:r>
        <w:t xml:space="preserve">The front of each row is the end where the </w:t>
      </w:r>
      <w:r>
        <w:rPr>
          <w:b/>
        </w:rPr>
        <w:t>Operator Station</w:t>
      </w:r>
      <w:r>
        <w:t xml:space="preserve"> is located - the point at which operators access presented totes through the Roller Door.</w:t>
      </w:r>
    </w:p>
    <w:p>
      <w:pPr>
        <w:spacing w:after="120"/>
      </w:pPr>
      <w:r>
        <w:t>For the first frame in each row:</w:t>
      </w:r>
    </w:p>
    <w:p>
      <w:pPr>
        <w:pStyle w:val="ListBullet"/>
        <w:numPr>
          <w:ilvl w:val="0"/>
          <w:numId w:val="5"/>
        </w:numPr>
      </w:pPr>
      <w:r>
        <w:t xml:space="preserve">Two horizontal braces must be installed at the bottom of the front frame with a centre-to-centre vertical separation of </w:t>
      </w:r>
      <w:r>
        <w:rPr>
          <w:b/>
        </w:rPr>
        <w:t>100 mm (min) to 200 mm (max)</w:t>
      </w:r>
      <w:r>
        <w:t>.</w:t>
      </w:r>
    </w:p>
    <w:p>
      <w:pPr>
        <w:pStyle w:val="ListBullet"/>
        <w:numPr>
          <w:ilvl w:val="0"/>
          <w:numId w:val="5"/>
        </w:numPr>
        <w:spacing w:after="120"/>
      </w:pPr>
      <w:r>
        <w:t xml:space="preserve">The upper horizontal brace must be a </w:t>
      </w:r>
      <w:r>
        <w:rPr>
          <w:b/>
        </w:rPr>
        <w:t>maximum of 350 mm above ground level</w:t>
      </w:r>
      <w:r>
        <w:t>.</w:t>
      </w:r>
    </w:p>
    <w:p>
      <w:pPr>
        <w:spacing w:after="120"/>
      </w:pPr>
      <w:r>
        <w:t>This configuration allows for installation of industrial electrical outlets mounted on the two horizontal braces, centred on the inside of the frame.</w:t>
      </w:r>
    </w:p>
    <w:p>
      <w:pPr>
        <w:keepNext/>
        <w:spacing w:after="80"/>
        <w:jc w:val="center"/>
      </w:pPr>
      <w:r>
        <w:drawing>
          <wp:inline xmlns:a="http://schemas.openxmlformats.org/drawingml/2006/main" xmlns:pic="http://schemas.openxmlformats.org/drawingml/2006/picture">
            <wp:extent cx="5760000" cy="3351450"/>
            <wp:docPr id="5" name="Picture 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760000" cy="3351450"/>
                    </a:xfrm>
                    <a:prstGeom prst="rect"/>
                  </pic:spPr>
                </pic:pic>
              </a:graphicData>
            </a:graphic>
          </wp:inline>
        </w:drawing>
      </w:r>
    </w:p>
    <w:p>
      <w:pPr>
        <w:keepNext/>
        <w:spacing w:after="80"/>
        <w:jc w:val="center"/>
      </w:pPr>
      <w:r>
        <w:drawing>
          <wp:inline xmlns:a="http://schemas.openxmlformats.org/drawingml/2006/main" xmlns:pic="http://schemas.openxmlformats.org/drawingml/2006/picture">
            <wp:extent cx="5760000" cy="3942595"/>
            <wp:docPr id="6" name="Picture 6"/>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760000" cy="3942595"/>
                    </a:xfrm>
                    <a:prstGeom prst="rect"/>
                  </pic:spPr>
                </pic:pic>
              </a:graphicData>
            </a:graphic>
          </wp:inline>
        </w:drawing>
      </w:r>
    </w:p>
    <w:p>
      <w:pPr>
        <w:spacing w:after="120"/>
      </w:pPr>
      <w:r>
        <w:rPr>
          <w:i/>
        </w:rPr>
        <w:t>Figure: Double Bracing</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0969da"/>
              <w:bottom w:val="nil"/>
              <w:right w:val="nil"/>
            </w:tcBorders>
            <w:shd w:fill="ddf4ff" w:val="clear"/>
            <w:tcMar>
              <w:top w:w="100" w:type="dxa"/>
              <w:bottom w:w="100" w:type="dxa"/>
              <w:start w:w="160" w:type="dxa"/>
              <w:end w:w="160" w:type="dxa"/>
            </w:tcMar>
          </w:tcPr>
          <w:p>
            <w:pPr>
              <w:keepNext/>
              <w:spacing w:after="60"/>
            </w:pPr>
            <w:r>
              <w:rPr>
                <w:b/>
                <w:color w:val="0969DA"/>
                <w:sz w:val="19"/>
              </w:rPr>
              <w:t>Note</w:t>
            </w:r>
          </w:p>
          <w:p>
            <w:pPr>
              <w:spacing w:after="0"/>
            </w:pPr>
            <w:r>
              <w:t>The two horizontal braces at the bottom of the first frame no higher than 350 mm. Failure to do so will prevent fitment of the electrical cabinet within the frame footprint.</w:t>
            </w:r>
          </w:p>
        </w:tc>
      </w:tr>
    </w:tbl>
    <w:p>
      <w:pPr>
        <w:spacing w:before="0" w:after="0"/>
        <w:rPr>
          <w:sz w:val="8"/>
          <w:szCs w:val="8"/>
        </w:rPr>
      </w:pPr>
    </w:p>
    <w:p>
      <w:pPr>
        <w:pBdr>
          <w:bottom w:val="single" w:sz="4" w:space="1" w:color="d9d9d9"/>
        </w:pBdr>
        <w:spacing w:after="200" w:before="120"/>
        <w:rPr>
          <w:sz w:val="4"/>
          <w:szCs w:val="4"/>
        </w:rPr>
      </w:pPr>
    </w:p>
    <w:p>
      <w:pPr>
        <w:pStyle w:val="Heading2"/>
      </w:pPr>
      <w:r>
        <w:t>6. Notes &amp; Responsibilities</w:t>
      </w:r>
    </w:p>
    <w:p>
      <w:pPr>
        <w:pStyle w:val="Heading3"/>
      </w:pPr>
      <w:r>
        <w:t>6.1 Responsibility Matrix</w:t>
      </w:r>
    </w:p>
    <w:p>
      <w:pPr>
        <w:spacing w:after="120"/>
      </w:pPr>
      <w:r>
        <w:t xml:space="preserve">The table below records who supplies and who installs each element of the racking scope. Where an item shows </w:t>
      </w:r>
      <w:r>
        <w:rPr>
          <w:b/>
        </w:rPr>
        <w:t>Racking supplier*</w:t>
      </w:r>
      <w:r>
        <w:t>, the preferred arrangement is for the racking supplier to perform the work where they have the capability, subject to written agreement between the Customer, the racking supplier, and Shelfbot; in the absence of such agreement, Shelfbot performs the work. The agreed party for each site is recorded in writing.</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319"/>
        <w:gridCol w:w="2165"/>
        <w:gridCol w:w="1253"/>
        <w:gridCol w:w="1263"/>
      </w:tblGrid>
      <w:tr>
        <w:trPr>
          <w:tblHeader/>
        </w:trPr>
        <w:tc>
          <w:tcPr>
            <w:tcW w:w="319" w:type="pct"/>
            <w:shd w:fill="f1f5f9" w:val="clear"/>
            <w:tcMar>
              <w:top w:w="40" w:type="dxa"/>
              <w:bottom w:w="40" w:type="dxa"/>
              <w:start w:w="90" w:type="dxa"/>
              <w:end w:w="90" w:type="dxa"/>
            </w:tcMar>
          </w:tcPr>
          <w:p>
            <w:pPr>
              <w:spacing w:after="0" w:before="0"/>
              <w:jc w:val="center"/>
            </w:pPr>
            <w:r>
              <w:rPr>
                <w:b/>
                <w:sz w:val="18"/>
              </w:rPr>
              <w:t>#</w:t>
            </w:r>
          </w:p>
        </w:tc>
        <w:tc>
          <w:tcPr>
            <w:tcW w:w="2165" w:type="pct"/>
            <w:shd w:fill="f1f5f9" w:val="clear"/>
            <w:tcMar>
              <w:top w:w="40" w:type="dxa"/>
              <w:bottom w:w="40" w:type="dxa"/>
              <w:start w:w="90" w:type="dxa"/>
              <w:end w:w="90" w:type="dxa"/>
            </w:tcMar>
          </w:tcPr>
          <w:p>
            <w:pPr>
              <w:spacing w:after="0" w:before="0"/>
            </w:pPr>
            <w:r>
              <w:rPr>
                <w:b/>
                <w:sz w:val="18"/>
              </w:rPr>
              <w:t>Item</w:t>
            </w:r>
          </w:p>
        </w:tc>
        <w:tc>
          <w:tcPr>
            <w:tcW w:w="1253" w:type="pct"/>
            <w:shd w:fill="f1f5f9" w:val="clear"/>
            <w:tcMar>
              <w:top w:w="40" w:type="dxa"/>
              <w:bottom w:w="40" w:type="dxa"/>
              <w:start w:w="90" w:type="dxa"/>
              <w:end w:w="90" w:type="dxa"/>
            </w:tcMar>
          </w:tcPr>
          <w:p>
            <w:pPr>
              <w:spacing w:after="0" w:before="0"/>
            </w:pPr>
            <w:r>
              <w:rPr>
                <w:b/>
                <w:sz w:val="18"/>
              </w:rPr>
              <w:t>Supplied by</w:t>
            </w:r>
          </w:p>
        </w:tc>
        <w:tc>
          <w:tcPr>
            <w:tcW w:w="1263" w:type="pct"/>
            <w:shd w:fill="f1f5f9" w:val="clear"/>
            <w:tcMar>
              <w:top w:w="40" w:type="dxa"/>
              <w:bottom w:w="40" w:type="dxa"/>
              <w:start w:w="90" w:type="dxa"/>
              <w:end w:w="90" w:type="dxa"/>
            </w:tcMar>
          </w:tcPr>
          <w:p>
            <w:pPr>
              <w:spacing w:after="0" w:before="0"/>
            </w:pPr>
            <w:r>
              <w:rPr>
                <w:b/>
                <w:sz w:val="18"/>
              </w:rPr>
              <w:t>Installed by</w:t>
            </w:r>
          </w:p>
        </w:tc>
      </w:tr>
      <w:tr>
        <w:tc>
          <w:tcPr>
            <w:tcW w:w="319" w:type="pct"/>
            <w:tcMar>
              <w:top w:w="40" w:type="dxa"/>
              <w:bottom w:w="40" w:type="dxa"/>
              <w:start w:w="90" w:type="dxa"/>
              <w:end w:w="90" w:type="dxa"/>
            </w:tcMar>
          </w:tcPr>
          <w:p>
            <w:pPr>
              <w:spacing w:after="0" w:before="0"/>
              <w:jc w:val="center"/>
            </w:pPr>
            <w:r>
              <w:rPr>
                <w:sz w:val="18"/>
              </w:rPr>
              <w:t>1</w:t>
            </w:r>
          </w:p>
        </w:tc>
        <w:tc>
          <w:tcPr>
            <w:tcW w:w="2165" w:type="pct"/>
            <w:tcMar>
              <w:top w:w="40" w:type="dxa"/>
              <w:bottom w:w="40" w:type="dxa"/>
              <w:start w:w="90" w:type="dxa"/>
              <w:end w:w="90" w:type="dxa"/>
            </w:tcMar>
          </w:tcPr>
          <w:p>
            <w:pPr>
              <w:spacing w:after="0" w:before="0"/>
            </w:pPr>
            <w:r>
              <w:rPr>
                <w:sz w:val="18"/>
              </w:rPr>
              <w:t>Pallet racking (frames, beams, bracing)</w:t>
            </w:r>
          </w:p>
        </w:tc>
        <w:tc>
          <w:tcPr>
            <w:tcW w:w="1253" w:type="pct"/>
            <w:tcMar>
              <w:top w:w="40" w:type="dxa"/>
              <w:bottom w:w="40" w:type="dxa"/>
              <w:start w:w="90" w:type="dxa"/>
              <w:end w:w="90" w:type="dxa"/>
            </w:tcMar>
          </w:tcPr>
          <w:p>
            <w:pPr>
              <w:spacing w:after="0" w:before="0"/>
            </w:pPr>
            <w:r>
              <w:rPr>
                <w:sz w:val="18"/>
              </w:rPr>
              <w:t>Racking supplier</w:t>
            </w:r>
          </w:p>
        </w:tc>
        <w:tc>
          <w:tcPr>
            <w:tcW w:w="1263" w:type="pct"/>
            <w:tcMar>
              <w:top w:w="40" w:type="dxa"/>
              <w:bottom w:w="40" w:type="dxa"/>
              <w:start w:w="90" w:type="dxa"/>
              <w:end w:w="90" w:type="dxa"/>
            </w:tcMar>
          </w:tcPr>
          <w:p>
            <w:pPr>
              <w:spacing w:after="0" w:before="0"/>
            </w:pPr>
            <w:r>
              <w:rPr>
                <w:sz w:val="18"/>
              </w:rPr>
              <w:t>Racking supplier</w:t>
            </w:r>
          </w:p>
        </w:tc>
      </w:tr>
      <w:tr>
        <w:tc>
          <w:tcPr>
            <w:tcW w:w="319" w:type="pct"/>
            <w:tcMar>
              <w:top w:w="40" w:type="dxa"/>
              <w:bottom w:w="40" w:type="dxa"/>
              <w:start w:w="90" w:type="dxa"/>
              <w:end w:w="90" w:type="dxa"/>
            </w:tcMar>
          </w:tcPr>
          <w:p>
            <w:pPr>
              <w:spacing w:after="0" w:before="0"/>
              <w:jc w:val="center"/>
            </w:pPr>
            <w:r>
              <w:rPr>
                <w:sz w:val="18"/>
              </w:rPr>
              <w:t>2</w:t>
            </w:r>
          </w:p>
        </w:tc>
        <w:tc>
          <w:tcPr>
            <w:tcW w:w="2165" w:type="pct"/>
            <w:tcMar>
              <w:top w:w="40" w:type="dxa"/>
              <w:bottom w:w="40" w:type="dxa"/>
              <w:start w:w="90" w:type="dxa"/>
              <w:end w:w="90" w:type="dxa"/>
            </w:tcMar>
          </w:tcPr>
          <w:p>
            <w:pPr>
              <w:spacing w:after="0" w:before="0"/>
            </w:pPr>
            <w:r>
              <w:rPr>
                <w:sz w:val="18"/>
              </w:rPr>
              <w:t>Structural certification to AS4084</w:t>
            </w:r>
          </w:p>
        </w:tc>
        <w:tc>
          <w:tcPr>
            <w:tcW w:w="1253" w:type="pct"/>
            <w:tcMar>
              <w:top w:w="40" w:type="dxa"/>
              <w:bottom w:w="40" w:type="dxa"/>
              <w:start w:w="90" w:type="dxa"/>
              <w:end w:w="90" w:type="dxa"/>
            </w:tcMar>
          </w:tcPr>
          <w:p>
            <w:pPr>
              <w:spacing w:after="0" w:before="0"/>
            </w:pPr>
            <w:r>
              <w:rPr>
                <w:sz w:val="18"/>
              </w:rPr>
              <w:t>Racking supplier</w:t>
            </w:r>
          </w:p>
        </w:tc>
        <w:tc>
          <w:tcPr>
            <w:tcW w:w="1263" w:type="pct"/>
            <w:tcMar>
              <w:top w:w="40" w:type="dxa"/>
              <w:bottom w:w="40" w:type="dxa"/>
              <w:start w:w="90" w:type="dxa"/>
              <w:end w:w="90" w:type="dxa"/>
            </w:tcMar>
          </w:tcPr>
          <w:p>
            <w:pPr>
              <w:spacing w:after="0" w:before="0"/>
            </w:pPr>
            <w:r>
              <w:rPr>
                <w:sz w:val="18"/>
              </w:rPr>
              <w:t>—</w:t>
            </w:r>
          </w:p>
        </w:tc>
      </w:tr>
      <w:tr>
        <w:tc>
          <w:tcPr>
            <w:tcW w:w="319" w:type="pct"/>
            <w:tcMar>
              <w:top w:w="40" w:type="dxa"/>
              <w:bottom w:w="40" w:type="dxa"/>
              <w:start w:w="90" w:type="dxa"/>
              <w:end w:w="90" w:type="dxa"/>
            </w:tcMar>
          </w:tcPr>
          <w:p>
            <w:pPr>
              <w:spacing w:after="0" w:before="0"/>
              <w:jc w:val="center"/>
            </w:pPr>
            <w:r>
              <w:rPr>
                <w:sz w:val="18"/>
              </w:rPr>
              <w:t>3</w:t>
            </w:r>
          </w:p>
        </w:tc>
        <w:tc>
          <w:tcPr>
            <w:tcW w:w="2165" w:type="pct"/>
            <w:tcMar>
              <w:top w:w="40" w:type="dxa"/>
              <w:bottom w:w="40" w:type="dxa"/>
              <w:start w:w="90" w:type="dxa"/>
              <w:end w:w="90" w:type="dxa"/>
            </w:tcMar>
          </w:tcPr>
          <w:p>
            <w:pPr>
              <w:spacing w:after="0" w:before="0"/>
            </w:pPr>
            <w:r>
              <w:rPr>
                <w:sz w:val="18"/>
              </w:rPr>
              <w:t>Load signage (aisle entry points, per AS4084)</w:t>
            </w:r>
          </w:p>
        </w:tc>
        <w:tc>
          <w:tcPr>
            <w:tcW w:w="1253" w:type="pct"/>
            <w:tcMar>
              <w:top w:w="40" w:type="dxa"/>
              <w:bottom w:w="40" w:type="dxa"/>
              <w:start w:w="90" w:type="dxa"/>
              <w:end w:w="90" w:type="dxa"/>
            </w:tcMar>
          </w:tcPr>
          <w:p>
            <w:pPr>
              <w:spacing w:after="0" w:before="0"/>
            </w:pPr>
            <w:r>
              <w:rPr>
                <w:sz w:val="18"/>
              </w:rPr>
              <w:t>Racking supplier</w:t>
            </w:r>
          </w:p>
        </w:tc>
        <w:tc>
          <w:tcPr>
            <w:tcW w:w="1263" w:type="pct"/>
            <w:tcMar>
              <w:top w:w="40" w:type="dxa"/>
              <w:bottom w:w="40" w:type="dxa"/>
              <w:start w:w="90" w:type="dxa"/>
              <w:end w:w="90" w:type="dxa"/>
            </w:tcMar>
          </w:tcPr>
          <w:p>
            <w:pPr>
              <w:spacing w:after="0" w:before="0"/>
            </w:pPr>
            <w:r>
              <w:rPr>
                <w:sz w:val="18"/>
              </w:rPr>
              <w:t>Racking supplier</w:t>
            </w:r>
          </w:p>
        </w:tc>
      </w:tr>
      <w:tr>
        <w:tc>
          <w:tcPr>
            <w:tcW w:w="319" w:type="pct"/>
            <w:tcMar>
              <w:top w:w="40" w:type="dxa"/>
              <w:bottom w:w="40" w:type="dxa"/>
              <w:start w:w="90" w:type="dxa"/>
              <w:end w:w="90" w:type="dxa"/>
            </w:tcMar>
          </w:tcPr>
          <w:p>
            <w:pPr>
              <w:spacing w:after="0" w:before="0"/>
              <w:jc w:val="center"/>
            </w:pPr>
            <w:r>
              <w:rPr>
                <w:sz w:val="18"/>
              </w:rPr>
              <w:t>4</w:t>
            </w:r>
          </w:p>
        </w:tc>
        <w:tc>
          <w:tcPr>
            <w:tcW w:w="2165" w:type="pct"/>
            <w:tcMar>
              <w:top w:w="40" w:type="dxa"/>
              <w:bottom w:w="40" w:type="dxa"/>
              <w:start w:w="90" w:type="dxa"/>
              <w:end w:w="90" w:type="dxa"/>
            </w:tcMar>
          </w:tcPr>
          <w:p>
            <w:pPr>
              <w:spacing w:after="0" w:before="0"/>
            </w:pPr>
            <w:r>
              <w:rPr>
                <w:sz w:val="18"/>
              </w:rPr>
              <w:t>Mesh decks (</w:t>
            </w:r>
            <w:r>
              <w:rPr>
                <w:i/>
                <w:sz w:val="18"/>
              </w:rPr>
              <w:t>Mesh Decks</w:t>
            </w:r>
            <w:r>
              <w:rPr>
                <w:sz w:val="18"/>
              </w:rPr>
              <w:t>)</w:t>
            </w:r>
          </w:p>
        </w:tc>
        <w:tc>
          <w:tcPr>
            <w:tcW w:w="1253" w:type="pct"/>
            <w:tcMar>
              <w:top w:w="40" w:type="dxa"/>
              <w:bottom w:w="40" w:type="dxa"/>
              <w:start w:w="90" w:type="dxa"/>
              <w:end w:w="90" w:type="dxa"/>
            </w:tcMar>
          </w:tcPr>
          <w:p>
            <w:pPr>
              <w:spacing w:after="0" w:before="0"/>
            </w:pPr>
            <w:r>
              <w:rPr>
                <w:sz w:val="18"/>
              </w:rPr>
              <w:t>Racking supplier</w:t>
            </w:r>
          </w:p>
        </w:tc>
        <w:tc>
          <w:tcPr>
            <w:tcW w:w="1263" w:type="pct"/>
            <w:tcMar>
              <w:top w:w="40" w:type="dxa"/>
              <w:bottom w:w="40" w:type="dxa"/>
              <w:start w:w="90" w:type="dxa"/>
              <w:end w:w="90" w:type="dxa"/>
            </w:tcMar>
          </w:tcPr>
          <w:p>
            <w:pPr>
              <w:spacing w:after="0" w:before="0"/>
            </w:pPr>
            <w:r>
              <w:rPr>
                <w:sz w:val="18"/>
              </w:rPr>
              <w:t>Racking supplier</w:t>
            </w:r>
          </w:p>
        </w:tc>
      </w:tr>
      <w:tr>
        <w:tc>
          <w:tcPr>
            <w:tcW w:w="319" w:type="pct"/>
            <w:tcMar>
              <w:top w:w="40" w:type="dxa"/>
              <w:bottom w:w="40" w:type="dxa"/>
              <w:start w:w="90" w:type="dxa"/>
              <w:end w:w="90" w:type="dxa"/>
            </w:tcMar>
          </w:tcPr>
          <w:p>
            <w:pPr>
              <w:spacing w:after="0" w:before="0"/>
              <w:jc w:val="center"/>
            </w:pPr>
            <w:r>
              <w:rPr>
                <w:sz w:val="18"/>
              </w:rPr>
              <w:t>5</w:t>
            </w:r>
          </w:p>
        </w:tc>
        <w:tc>
          <w:tcPr>
            <w:tcW w:w="2165" w:type="pct"/>
            <w:tcMar>
              <w:top w:w="40" w:type="dxa"/>
              <w:bottom w:w="40" w:type="dxa"/>
              <w:start w:w="90" w:type="dxa"/>
              <w:end w:w="90" w:type="dxa"/>
            </w:tcMar>
          </w:tcPr>
          <w:p>
            <w:pPr>
              <w:spacing w:after="0" w:before="0"/>
            </w:pPr>
            <w:r>
              <w:rPr>
                <w:sz w:val="18"/>
              </w:rPr>
              <w:t>Base plates and anchors, selection and installation (</w:t>
            </w:r>
            <w:r>
              <w:rPr>
                <w:i/>
                <w:sz w:val="18"/>
              </w:rPr>
              <w:t>Base Plates</w:t>
            </w:r>
            <w:r>
              <w:rPr>
                <w:sz w:val="18"/>
              </w:rPr>
              <w:t>)</w:t>
            </w:r>
          </w:p>
        </w:tc>
        <w:tc>
          <w:tcPr>
            <w:tcW w:w="1253" w:type="pct"/>
            <w:tcMar>
              <w:top w:w="40" w:type="dxa"/>
              <w:bottom w:w="40" w:type="dxa"/>
              <w:start w:w="90" w:type="dxa"/>
              <w:end w:w="90" w:type="dxa"/>
            </w:tcMar>
          </w:tcPr>
          <w:p>
            <w:pPr>
              <w:spacing w:after="0" w:before="0"/>
            </w:pPr>
            <w:r>
              <w:rPr>
                <w:sz w:val="18"/>
              </w:rPr>
              <w:t>Racking supplier</w:t>
            </w:r>
          </w:p>
        </w:tc>
        <w:tc>
          <w:tcPr>
            <w:tcW w:w="1263" w:type="pct"/>
            <w:tcMar>
              <w:top w:w="40" w:type="dxa"/>
              <w:bottom w:w="40" w:type="dxa"/>
              <w:start w:w="90" w:type="dxa"/>
              <w:end w:w="90" w:type="dxa"/>
            </w:tcMar>
          </w:tcPr>
          <w:p>
            <w:pPr>
              <w:spacing w:after="0" w:before="0"/>
            </w:pPr>
            <w:r>
              <w:rPr>
                <w:sz w:val="18"/>
              </w:rPr>
              <w:t>Racking supplier</w:t>
            </w:r>
          </w:p>
        </w:tc>
      </w:tr>
      <w:tr>
        <w:tc>
          <w:tcPr>
            <w:tcW w:w="319" w:type="pct"/>
            <w:tcMar>
              <w:top w:w="40" w:type="dxa"/>
              <w:bottom w:w="40" w:type="dxa"/>
              <w:start w:w="90" w:type="dxa"/>
              <w:end w:w="90" w:type="dxa"/>
            </w:tcMar>
          </w:tcPr>
          <w:p>
            <w:pPr>
              <w:spacing w:after="0" w:before="0"/>
              <w:jc w:val="center"/>
            </w:pPr>
            <w:r>
              <w:rPr>
                <w:sz w:val="18"/>
              </w:rPr>
              <w:t>6</w:t>
            </w:r>
          </w:p>
        </w:tc>
        <w:tc>
          <w:tcPr>
            <w:tcW w:w="2165" w:type="pct"/>
            <w:tcMar>
              <w:top w:w="40" w:type="dxa"/>
              <w:bottom w:w="40" w:type="dxa"/>
              <w:start w:w="90" w:type="dxa"/>
              <w:end w:w="90" w:type="dxa"/>
            </w:tcMar>
          </w:tcPr>
          <w:p>
            <w:pPr>
              <w:spacing w:after="0" w:before="0"/>
            </w:pPr>
            <w:r>
              <w:rPr>
                <w:sz w:val="18"/>
              </w:rPr>
              <w:t>Back-of-rack guarding, outer rows (</w:t>
            </w:r>
            <w:r>
              <w:rPr>
                <w:i/>
                <w:sz w:val="18"/>
              </w:rPr>
              <w:t>Back-of-Rack Guarding (Outer Rows)</w:t>
            </w:r>
            <w:r>
              <w:rPr>
                <w:sz w:val="18"/>
              </w:rPr>
              <w:t>)</w:t>
            </w:r>
          </w:p>
        </w:tc>
        <w:tc>
          <w:tcPr>
            <w:tcW w:w="1253" w:type="pct"/>
            <w:tcMar>
              <w:top w:w="40" w:type="dxa"/>
              <w:bottom w:w="40" w:type="dxa"/>
              <w:start w:w="90" w:type="dxa"/>
              <w:end w:w="90" w:type="dxa"/>
            </w:tcMar>
          </w:tcPr>
          <w:p>
            <w:pPr>
              <w:spacing w:after="0" w:before="0"/>
            </w:pPr>
            <w:r>
              <w:rPr>
                <w:sz w:val="18"/>
              </w:rPr>
              <w:t>Racking supplier</w:t>
            </w:r>
          </w:p>
        </w:tc>
        <w:tc>
          <w:tcPr>
            <w:tcW w:w="1263" w:type="pct"/>
            <w:tcMar>
              <w:top w:w="40" w:type="dxa"/>
              <w:bottom w:w="40" w:type="dxa"/>
              <w:start w:w="90" w:type="dxa"/>
              <w:end w:w="90" w:type="dxa"/>
            </w:tcMar>
          </w:tcPr>
          <w:p>
            <w:pPr>
              <w:spacing w:after="0" w:before="0"/>
            </w:pPr>
            <w:r>
              <w:rPr>
                <w:sz w:val="18"/>
              </w:rPr>
              <w:t>Racking supplier*</w:t>
            </w:r>
          </w:p>
        </w:tc>
      </w:tr>
      <w:tr>
        <w:tc>
          <w:tcPr>
            <w:tcW w:w="319" w:type="pct"/>
            <w:tcMar>
              <w:top w:w="40" w:type="dxa"/>
              <w:bottom w:w="40" w:type="dxa"/>
              <w:start w:w="90" w:type="dxa"/>
              <w:end w:w="90" w:type="dxa"/>
            </w:tcMar>
          </w:tcPr>
          <w:p>
            <w:pPr>
              <w:spacing w:after="0" w:before="0"/>
              <w:jc w:val="center"/>
            </w:pPr>
            <w:r>
              <w:rPr>
                <w:sz w:val="18"/>
              </w:rPr>
              <w:t>7</w:t>
            </w:r>
          </w:p>
        </w:tc>
        <w:tc>
          <w:tcPr>
            <w:tcW w:w="2165" w:type="pct"/>
            <w:tcMar>
              <w:top w:w="40" w:type="dxa"/>
              <w:bottom w:w="40" w:type="dxa"/>
              <w:start w:w="90" w:type="dxa"/>
              <w:end w:w="90" w:type="dxa"/>
            </w:tcMar>
          </w:tcPr>
          <w:p>
            <w:pPr>
              <w:spacing w:after="0" w:before="0"/>
            </w:pPr>
            <w:r>
              <w:rPr>
                <w:sz w:val="18"/>
              </w:rPr>
              <w:t>Top rails (</w:t>
            </w:r>
            <w:r>
              <w:rPr>
                <w:i/>
                <w:sz w:val="18"/>
              </w:rPr>
              <w:t>Top Rail</w:t>
            </w:r>
            <w:r>
              <w:rPr>
                <w:sz w:val="18"/>
              </w:rPr>
              <w:t>)</w:t>
            </w:r>
          </w:p>
        </w:tc>
        <w:tc>
          <w:tcPr>
            <w:tcW w:w="1253" w:type="pct"/>
            <w:tcMar>
              <w:top w:w="40" w:type="dxa"/>
              <w:bottom w:w="40" w:type="dxa"/>
              <w:start w:w="90" w:type="dxa"/>
              <w:end w:w="90" w:type="dxa"/>
            </w:tcMar>
          </w:tcPr>
          <w:p>
            <w:pPr>
              <w:spacing w:after="0" w:before="0"/>
            </w:pPr>
            <w:r>
              <w:rPr>
                <w:sz w:val="18"/>
              </w:rPr>
              <w:t>Shelfbot</w:t>
            </w:r>
          </w:p>
        </w:tc>
        <w:tc>
          <w:tcPr>
            <w:tcW w:w="1263" w:type="pct"/>
            <w:tcMar>
              <w:top w:w="40" w:type="dxa"/>
              <w:bottom w:w="40" w:type="dxa"/>
              <w:start w:w="90" w:type="dxa"/>
              <w:end w:w="90" w:type="dxa"/>
            </w:tcMar>
          </w:tcPr>
          <w:p>
            <w:pPr>
              <w:spacing w:after="0" w:before="0"/>
            </w:pPr>
            <w:r>
              <w:rPr>
                <w:sz w:val="18"/>
              </w:rPr>
              <w:t>Racking supplier*</w:t>
            </w:r>
          </w:p>
        </w:tc>
      </w:tr>
      <w:tr>
        <w:tc>
          <w:tcPr>
            <w:tcW w:w="319" w:type="pct"/>
            <w:tcMar>
              <w:top w:w="40" w:type="dxa"/>
              <w:bottom w:w="40" w:type="dxa"/>
              <w:start w:w="90" w:type="dxa"/>
              <w:end w:w="90" w:type="dxa"/>
            </w:tcMar>
          </w:tcPr>
          <w:p>
            <w:pPr>
              <w:spacing w:after="0" w:before="0"/>
              <w:jc w:val="center"/>
            </w:pPr>
            <w:r>
              <w:rPr>
                <w:sz w:val="18"/>
              </w:rPr>
              <w:t>8</w:t>
            </w:r>
          </w:p>
        </w:tc>
        <w:tc>
          <w:tcPr>
            <w:tcW w:w="2165" w:type="pct"/>
            <w:tcMar>
              <w:top w:w="40" w:type="dxa"/>
              <w:bottom w:w="40" w:type="dxa"/>
              <w:start w:w="90" w:type="dxa"/>
              <w:end w:w="90" w:type="dxa"/>
            </w:tcMar>
          </w:tcPr>
          <w:p>
            <w:pPr>
              <w:spacing w:after="0" w:before="0"/>
            </w:pPr>
            <w:r>
              <w:rPr>
                <w:sz w:val="18"/>
              </w:rPr>
              <w:t>Rack upright caps (</w:t>
            </w:r>
            <w:r>
              <w:rPr>
                <w:i/>
                <w:sz w:val="18"/>
              </w:rPr>
              <w:t>Top Rail</w:t>
            </w:r>
            <w:r>
              <w:rPr>
                <w:sz w:val="18"/>
              </w:rPr>
              <w:t>)</w:t>
            </w:r>
          </w:p>
        </w:tc>
        <w:tc>
          <w:tcPr>
            <w:tcW w:w="1253" w:type="pct"/>
            <w:tcMar>
              <w:top w:w="40" w:type="dxa"/>
              <w:bottom w:w="40" w:type="dxa"/>
              <w:start w:w="90" w:type="dxa"/>
              <w:end w:w="90" w:type="dxa"/>
            </w:tcMar>
          </w:tcPr>
          <w:p>
            <w:pPr>
              <w:spacing w:after="0" w:before="0"/>
            </w:pPr>
            <w:r>
              <w:rPr>
                <w:sz w:val="18"/>
              </w:rPr>
              <w:t>Shelfbot</w:t>
            </w:r>
          </w:p>
        </w:tc>
        <w:tc>
          <w:tcPr>
            <w:tcW w:w="1263" w:type="pct"/>
            <w:tcMar>
              <w:top w:w="40" w:type="dxa"/>
              <w:bottom w:w="40" w:type="dxa"/>
              <w:start w:w="90" w:type="dxa"/>
              <w:end w:w="90" w:type="dxa"/>
            </w:tcMar>
          </w:tcPr>
          <w:p>
            <w:pPr>
              <w:spacing w:after="0" w:before="0"/>
            </w:pPr>
            <w:r>
              <w:rPr>
                <w:sz w:val="18"/>
              </w:rPr>
              <w:t>Racking supplier*</w:t>
            </w:r>
          </w:p>
        </w:tc>
      </w:tr>
      <w:tr>
        <w:tc>
          <w:tcPr>
            <w:tcW w:w="319" w:type="pct"/>
            <w:tcMar>
              <w:top w:w="40" w:type="dxa"/>
              <w:bottom w:w="40" w:type="dxa"/>
              <w:start w:w="90" w:type="dxa"/>
              <w:end w:w="90" w:type="dxa"/>
            </w:tcMar>
          </w:tcPr>
          <w:p>
            <w:pPr>
              <w:spacing w:after="0" w:before="0"/>
              <w:jc w:val="center"/>
            </w:pPr>
            <w:r>
              <w:rPr>
                <w:sz w:val="18"/>
              </w:rPr>
              <w:t>9</w:t>
            </w:r>
          </w:p>
        </w:tc>
        <w:tc>
          <w:tcPr>
            <w:tcW w:w="2165" w:type="pct"/>
            <w:tcMar>
              <w:top w:w="40" w:type="dxa"/>
              <w:bottom w:w="40" w:type="dxa"/>
              <w:start w:w="90" w:type="dxa"/>
              <w:end w:w="90" w:type="dxa"/>
            </w:tcMar>
          </w:tcPr>
          <w:p>
            <w:pPr>
              <w:spacing w:after="0" w:before="0"/>
            </w:pPr>
            <w:r>
              <w:rPr>
                <w:sz w:val="18"/>
              </w:rPr>
              <w:t>Bottom rails, screw-fixed to slab (</w:t>
            </w:r>
            <w:r>
              <w:rPr>
                <w:i/>
                <w:sz w:val="18"/>
              </w:rPr>
              <w:t>Bottom Rail (Robot Bottom Rail)</w:t>
            </w:r>
            <w:r>
              <w:rPr>
                <w:sz w:val="18"/>
              </w:rPr>
              <w:t>)</w:t>
            </w:r>
          </w:p>
        </w:tc>
        <w:tc>
          <w:tcPr>
            <w:tcW w:w="1253" w:type="pct"/>
            <w:tcMar>
              <w:top w:w="40" w:type="dxa"/>
              <w:bottom w:w="40" w:type="dxa"/>
              <w:start w:w="90" w:type="dxa"/>
              <w:end w:w="90" w:type="dxa"/>
            </w:tcMar>
          </w:tcPr>
          <w:p>
            <w:pPr>
              <w:spacing w:after="0" w:before="0"/>
            </w:pPr>
            <w:r>
              <w:rPr>
                <w:sz w:val="18"/>
              </w:rPr>
              <w:t>Shelfbot</w:t>
            </w:r>
          </w:p>
        </w:tc>
        <w:tc>
          <w:tcPr>
            <w:tcW w:w="1263" w:type="pct"/>
            <w:tcMar>
              <w:top w:w="40" w:type="dxa"/>
              <w:bottom w:w="40" w:type="dxa"/>
              <w:start w:w="90" w:type="dxa"/>
              <w:end w:w="90" w:type="dxa"/>
            </w:tcMar>
          </w:tcPr>
          <w:p>
            <w:pPr>
              <w:spacing w:after="0" w:before="0"/>
            </w:pPr>
            <w:r>
              <w:rPr>
                <w:sz w:val="18"/>
              </w:rPr>
              <w:t>Racking supplier*</w:t>
            </w:r>
          </w:p>
        </w:tc>
      </w:tr>
      <w:tr>
        <w:tc>
          <w:tcPr>
            <w:tcW w:w="319" w:type="pct"/>
            <w:tcMar>
              <w:top w:w="40" w:type="dxa"/>
              <w:bottom w:w="40" w:type="dxa"/>
              <w:start w:w="90" w:type="dxa"/>
              <w:end w:w="90" w:type="dxa"/>
            </w:tcMar>
          </w:tcPr>
          <w:p>
            <w:pPr>
              <w:spacing w:after="0" w:before="0"/>
              <w:jc w:val="center"/>
            </w:pPr>
            <w:r>
              <w:rPr>
                <w:sz w:val="18"/>
              </w:rPr>
              <w:t>10</w:t>
            </w:r>
          </w:p>
        </w:tc>
        <w:tc>
          <w:tcPr>
            <w:tcW w:w="2165" w:type="pct"/>
            <w:tcMar>
              <w:top w:w="40" w:type="dxa"/>
              <w:bottom w:w="40" w:type="dxa"/>
              <w:start w:w="90" w:type="dxa"/>
              <w:end w:w="90" w:type="dxa"/>
            </w:tcMar>
          </w:tcPr>
          <w:p>
            <w:pPr>
              <w:spacing w:after="0" w:before="0"/>
            </w:pPr>
            <w:r>
              <w:rPr>
                <w:sz w:val="18"/>
              </w:rPr>
              <w:t>Drag chain, housed in bottom rail (</w:t>
            </w:r>
            <w:r>
              <w:rPr>
                <w:i/>
                <w:sz w:val="18"/>
              </w:rPr>
              <w:t>Bottom Rail (Robot Bottom Rail)</w:t>
            </w:r>
            <w:r>
              <w:rPr>
                <w:sz w:val="18"/>
              </w:rPr>
              <w:t>)</w:t>
            </w:r>
          </w:p>
        </w:tc>
        <w:tc>
          <w:tcPr>
            <w:tcW w:w="1253" w:type="pct"/>
            <w:tcMar>
              <w:top w:w="40" w:type="dxa"/>
              <w:bottom w:w="40" w:type="dxa"/>
              <w:start w:w="90" w:type="dxa"/>
              <w:end w:w="90" w:type="dxa"/>
            </w:tcMar>
          </w:tcPr>
          <w:p>
            <w:pPr>
              <w:spacing w:after="0" w:before="0"/>
            </w:pPr>
            <w:r>
              <w:rPr>
                <w:sz w:val="18"/>
              </w:rPr>
              <w:t>Shelfbot</w:t>
            </w:r>
          </w:p>
        </w:tc>
        <w:tc>
          <w:tcPr>
            <w:tcW w:w="1263" w:type="pct"/>
            <w:tcMar>
              <w:top w:w="40" w:type="dxa"/>
              <w:bottom w:w="40" w:type="dxa"/>
              <w:start w:w="90" w:type="dxa"/>
              <w:end w:w="90" w:type="dxa"/>
            </w:tcMar>
          </w:tcPr>
          <w:p>
            <w:pPr>
              <w:spacing w:after="0" w:before="0"/>
            </w:pPr>
            <w:r>
              <w:rPr>
                <w:sz w:val="18"/>
              </w:rPr>
              <w:t>Shelfbot</w:t>
            </w:r>
          </w:p>
        </w:tc>
      </w:tr>
      <w:tr>
        <w:tc>
          <w:tcPr>
            <w:tcW w:w="319" w:type="pct"/>
            <w:tcMar>
              <w:top w:w="40" w:type="dxa"/>
              <w:bottom w:w="40" w:type="dxa"/>
              <w:start w:w="90" w:type="dxa"/>
              <w:end w:w="90" w:type="dxa"/>
            </w:tcMar>
          </w:tcPr>
          <w:p>
            <w:pPr>
              <w:spacing w:after="0" w:before="0"/>
              <w:jc w:val="center"/>
            </w:pPr>
            <w:r>
              <w:rPr>
                <w:sz w:val="18"/>
              </w:rPr>
              <w:t>11</w:t>
            </w:r>
          </w:p>
        </w:tc>
        <w:tc>
          <w:tcPr>
            <w:tcW w:w="2165" w:type="pct"/>
            <w:tcMar>
              <w:top w:w="40" w:type="dxa"/>
              <w:bottom w:w="40" w:type="dxa"/>
              <w:start w:w="90" w:type="dxa"/>
              <w:end w:w="90" w:type="dxa"/>
            </w:tcMar>
          </w:tcPr>
          <w:p>
            <w:pPr>
              <w:spacing w:after="0" w:before="0"/>
            </w:pPr>
            <w:r>
              <w:rPr>
                <w:sz w:val="18"/>
              </w:rPr>
              <w:t>Bollards (</w:t>
            </w:r>
            <w:r>
              <w:rPr>
                <w:i/>
                <w:sz w:val="18"/>
              </w:rPr>
              <w:t>Aisle Width &amp; Row Spacing</w:t>
            </w:r>
            <w:r>
              <w:rPr>
                <w:sz w:val="18"/>
              </w:rPr>
              <w:t>)</w:t>
            </w:r>
          </w:p>
        </w:tc>
        <w:tc>
          <w:tcPr>
            <w:tcW w:w="1253" w:type="pct"/>
            <w:tcMar>
              <w:top w:w="40" w:type="dxa"/>
              <w:bottom w:w="40" w:type="dxa"/>
              <w:start w:w="90" w:type="dxa"/>
              <w:end w:w="90" w:type="dxa"/>
            </w:tcMar>
          </w:tcPr>
          <w:p>
            <w:pPr>
              <w:spacing w:after="0" w:before="0"/>
            </w:pPr>
            <w:r>
              <w:rPr>
                <w:sz w:val="18"/>
              </w:rPr>
              <w:t>As agreed between racking supplier and Customer</w:t>
            </w:r>
          </w:p>
        </w:tc>
        <w:tc>
          <w:tcPr>
            <w:tcW w:w="1263" w:type="pct"/>
            <w:tcMar>
              <w:top w:w="40" w:type="dxa"/>
              <w:bottom w:w="40" w:type="dxa"/>
              <w:start w:w="90" w:type="dxa"/>
              <w:end w:w="90" w:type="dxa"/>
            </w:tcMar>
          </w:tcPr>
          <w:p>
            <w:pPr>
              <w:spacing w:after="0" w:before="0"/>
            </w:pPr>
            <w:r>
              <w:rPr>
                <w:sz w:val="18"/>
              </w:rPr>
              <w:t>As agreed between racking supplier and Customer</w:t>
            </w:r>
          </w:p>
        </w:tc>
      </w:tr>
      <w:tr>
        <w:tc>
          <w:tcPr>
            <w:tcW w:w="319" w:type="pct"/>
            <w:tcMar>
              <w:top w:w="40" w:type="dxa"/>
              <w:bottom w:w="40" w:type="dxa"/>
              <w:start w:w="90" w:type="dxa"/>
              <w:end w:w="90" w:type="dxa"/>
            </w:tcMar>
          </w:tcPr>
          <w:p>
            <w:pPr>
              <w:spacing w:after="0" w:before="0"/>
              <w:jc w:val="center"/>
            </w:pPr>
            <w:r>
              <w:rPr>
                <w:sz w:val="18"/>
              </w:rPr>
              <w:t>12</w:t>
            </w:r>
          </w:p>
        </w:tc>
        <w:tc>
          <w:tcPr>
            <w:tcW w:w="2165" w:type="pct"/>
            <w:tcMar>
              <w:top w:w="40" w:type="dxa"/>
              <w:bottom w:w="40" w:type="dxa"/>
              <w:start w:w="90" w:type="dxa"/>
              <w:end w:w="90" w:type="dxa"/>
            </w:tcMar>
          </w:tcPr>
          <w:p>
            <w:pPr>
              <w:spacing w:after="0" w:before="0"/>
            </w:pPr>
            <w:r>
              <w:rPr>
                <w:sz w:val="18"/>
              </w:rPr>
              <w:t>Electrical outlets on front frame (</w:t>
            </w:r>
            <w:r>
              <w:rPr>
                <w:i/>
                <w:sz w:val="18"/>
              </w:rPr>
              <w:t>Front Frame Requirement</w:t>
            </w:r>
            <w:r>
              <w:rPr>
                <w:sz w:val="18"/>
              </w:rPr>
              <w:t>, per Electrical Specification)</w:t>
            </w:r>
          </w:p>
        </w:tc>
        <w:tc>
          <w:tcPr>
            <w:tcW w:w="1253" w:type="pct"/>
            <w:tcMar>
              <w:top w:w="40" w:type="dxa"/>
              <w:bottom w:w="40" w:type="dxa"/>
              <w:start w:w="90" w:type="dxa"/>
              <w:end w:w="90" w:type="dxa"/>
            </w:tcMar>
          </w:tcPr>
          <w:p>
            <w:pPr>
              <w:spacing w:after="0" w:before="0"/>
            </w:pPr>
            <w:r>
              <w:rPr>
                <w:sz w:val="18"/>
              </w:rPr>
              <w:t>Customer (licensed electrician)</w:t>
            </w:r>
          </w:p>
        </w:tc>
        <w:tc>
          <w:tcPr>
            <w:tcW w:w="1263" w:type="pct"/>
            <w:tcMar>
              <w:top w:w="40" w:type="dxa"/>
              <w:bottom w:w="40" w:type="dxa"/>
              <w:start w:w="90" w:type="dxa"/>
              <w:end w:w="90" w:type="dxa"/>
            </w:tcMar>
          </w:tcPr>
          <w:p>
            <w:pPr>
              <w:spacing w:after="0" w:before="0"/>
            </w:pPr>
            <w:r>
              <w:rPr>
                <w:sz w:val="18"/>
              </w:rPr>
              <w:t>Customer (licensed electrician)</w:t>
            </w:r>
          </w:p>
        </w:tc>
      </w:tr>
      <w:tr>
        <w:tc>
          <w:tcPr>
            <w:tcW w:w="319" w:type="pct"/>
            <w:tcMar>
              <w:top w:w="40" w:type="dxa"/>
              <w:bottom w:w="40" w:type="dxa"/>
              <w:start w:w="90" w:type="dxa"/>
              <w:end w:w="90" w:type="dxa"/>
            </w:tcMar>
          </w:tcPr>
          <w:p>
            <w:pPr>
              <w:spacing w:after="0" w:before="0"/>
              <w:jc w:val="center"/>
            </w:pPr>
            <w:r>
              <w:rPr>
                <w:sz w:val="18"/>
              </w:rPr>
              <w:t>13</w:t>
            </w:r>
          </w:p>
        </w:tc>
        <w:tc>
          <w:tcPr>
            <w:tcW w:w="2165" w:type="pct"/>
            <w:tcMar>
              <w:top w:w="40" w:type="dxa"/>
              <w:bottom w:w="40" w:type="dxa"/>
              <w:start w:w="90" w:type="dxa"/>
              <w:end w:w="90" w:type="dxa"/>
            </w:tcMar>
          </w:tcPr>
          <w:p>
            <w:pPr>
              <w:spacing w:after="0" w:before="0"/>
            </w:pPr>
            <w:r>
              <w:rPr>
                <w:sz w:val="18"/>
              </w:rPr>
              <w:t>Robots, robot installation and commissioning</w:t>
            </w:r>
          </w:p>
        </w:tc>
        <w:tc>
          <w:tcPr>
            <w:tcW w:w="1253" w:type="pct"/>
            <w:tcMar>
              <w:top w:w="40" w:type="dxa"/>
              <w:bottom w:w="40" w:type="dxa"/>
              <w:start w:w="90" w:type="dxa"/>
              <w:end w:w="90" w:type="dxa"/>
            </w:tcMar>
          </w:tcPr>
          <w:p>
            <w:pPr>
              <w:spacing w:after="0" w:before="0"/>
            </w:pPr>
            <w:r>
              <w:rPr>
                <w:sz w:val="18"/>
              </w:rPr>
              <w:t>Shelfbot</w:t>
            </w:r>
          </w:p>
        </w:tc>
        <w:tc>
          <w:tcPr>
            <w:tcW w:w="1263" w:type="pct"/>
            <w:tcMar>
              <w:top w:w="40" w:type="dxa"/>
              <w:bottom w:w="40" w:type="dxa"/>
              <w:start w:w="90" w:type="dxa"/>
              <w:end w:w="90" w:type="dxa"/>
            </w:tcMar>
          </w:tcPr>
          <w:p>
            <w:pPr>
              <w:spacing w:after="0" w:before="0"/>
            </w:pPr>
            <w:r>
              <w:rPr>
                <w:sz w:val="18"/>
              </w:rPr>
              <w:t>Shelfbot</w:t>
            </w:r>
          </w:p>
        </w:tc>
      </w:tr>
      <w:tr>
        <w:tc>
          <w:tcPr>
            <w:tcW w:w="319" w:type="pct"/>
            <w:tcMar>
              <w:top w:w="40" w:type="dxa"/>
              <w:bottom w:w="40" w:type="dxa"/>
              <w:start w:w="90" w:type="dxa"/>
              <w:end w:w="90" w:type="dxa"/>
            </w:tcMar>
          </w:tcPr>
          <w:p>
            <w:pPr>
              <w:spacing w:after="0" w:before="0"/>
              <w:jc w:val="center"/>
            </w:pPr>
            <w:r>
              <w:rPr>
                <w:sz w:val="18"/>
              </w:rPr>
              <w:t>14</w:t>
            </w:r>
          </w:p>
        </w:tc>
        <w:tc>
          <w:tcPr>
            <w:tcW w:w="2165" w:type="pct"/>
            <w:tcMar>
              <w:top w:w="40" w:type="dxa"/>
              <w:bottom w:w="40" w:type="dxa"/>
              <w:start w:w="90" w:type="dxa"/>
              <w:end w:w="90" w:type="dxa"/>
            </w:tcMar>
          </w:tcPr>
          <w:p>
            <w:pPr>
              <w:spacing w:after="0" w:before="0"/>
            </w:pPr>
            <w:r>
              <w:rPr>
                <w:sz w:val="18"/>
              </w:rPr>
              <w:t>Racking shop drawings (manufacturing detail), checked against the Shelfbot Customer Site Drawings and issued for three-party sign-off before manufacture. The Customer Site Drawings are the single authoritative drawing set, owned by Shelfbot — the supplier does not issue layout drawings</w:t>
            </w:r>
          </w:p>
        </w:tc>
        <w:tc>
          <w:tcPr>
            <w:tcW w:w="1253" w:type="pct"/>
            <w:tcMar>
              <w:top w:w="40" w:type="dxa"/>
              <w:bottom w:w="40" w:type="dxa"/>
              <w:start w:w="90" w:type="dxa"/>
              <w:end w:w="90" w:type="dxa"/>
            </w:tcMar>
          </w:tcPr>
          <w:p>
            <w:pPr>
              <w:spacing w:after="0" w:before="0"/>
            </w:pPr>
            <w:r>
              <w:rPr>
                <w:sz w:val="18"/>
              </w:rPr>
              <w:t>Racking supplier</w:t>
            </w:r>
          </w:p>
        </w:tc>
        <w:tc>
          <w:tcPr>
            <w:tcW w:w="1263" w:type="pct"/>
            <w:tcMar>
              <w:top w:w="40" w:type="dxa"/>
              <w:bottom w:w="40" w:type="dxa"/>
              <w:start w:w="90" w:type="dxa"/>
              <w:end w:w="90" w:type="dxa"/>
            </w:tcMar>
          </w:tcPr>
          <w:p>
            <w:pPr>
              <w:spacing w:after="0" w:before="0"/>
            </w:pPr>
            <w:r>
              <w:rPr>
                <w:sz w:val="18"/>
              </w:rPr>
              <w:t>—</w:t>
            </w:r>
          </w:p>
        </w:tc>
      </w:tr>
    </w:tbl>
    <w:p>
      <w:pPr>
        <w:spacing w:before="0" w:after="0"/>
        <w:rPr>
          <w:sz w:val="8"/>
          <w:szCs w:val="8"/>
        </w:rPr>
      </w:pPr>
    </w:p>
    <w:p>
      <w:pPr>
        <w:spacing w:after="120"/>
      </w:pPr>
      <w:r>
        <w:t>* Racking supplier preferred where capable, subject to written three-party agreement; otherwise Shelfbot.</w:t>
      </w:r>
    </w:p>
    <w:p>
      <w:pPr>
        <w:spacing w:after="120"/>
      </w:pPr>
      <w:r>
        <w:t>Any deviation from this specification must be approved in writing by Shelfbot prior to manufacture or installation.</w:t>
      </w:r>
    </w:p>
    <w:p>
      <w:pPr>
        <w:spacing w:after="120"/>
      </w:pPr>
      <w:r>
        <w:t>Per-site agreed values (layout, dimensions, installation parties, bollard arrangements) are recorded per project, not in this specification.</w:t>
      </w:r>
    </w:p>
    <w:p>
      <w:pPr>
        <w:pBdr>
          <w:bottom w:val="single" w:sz="4" w:space="1" w:color="d9d9d9"/>
        </w:pBdr>
        <w:spacing w:after="200" w:before="120"/>
        <w:rPr>
          <w:sz w:val="4"/>
          <w:szCs w:val="4"/>
        </w:rPr>
      </w:pPr>
    </w:p>
    <w:p>
      <w:pPr>
        <w:pStyle w:val="Heading2"/>
      </w:pPr>
      <w:r>
        <w:t>7. Revision History</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069"/>
        <w:gridCol w:w="1546"/>
        <w:gridCol w:w="2385"/>
      </w:tblGrid>
      <w:tr>
        <w:trPr>
          <w:tblHeader/>
        </w:trPr>
        <w:tc>
          <w:tcPr>
            <w:tcW w:w="1069" w:type="pct"/>
            <w:shd w:fill="f1f5f9" w:val="clear"/>
            <w:tcMar>
              <w:top w:w="40" w:type="dxa"/>
              <w:bottom w:w="40" w:type="dxa"/>
              <w:start w:w="90" w:type="dxa"/>
              <w:end w:w="90" w:type="dxa"/>
            </w:tcMar>
          </w:tcPr>
          <w:p>
            <w:pPr>
              <w:spacing w:after="0" w:before="0"/>
              <w:jc w:val="center"/>
            </w:pPr>
            <w:r>
              <w:rPr>
                <w:b/>
                <w:sz w:val="18"/>
              </w:rPr>
              <w:t>Version</w:t>
            </w:r>
          </w:p>
        </w:tc>
        <w:tc>
          <w:tcPr>
            <w:tcW w:w="1546" w:type="pct"/>
            <w:shd w:fill="f1f5f9" w:val="clear"/>
            <w:tcMar>
              <w:top w:w="40" w:type="dxa"/>
              <w:bottom w:w="40" w:type="dxa"/>
              <w:start w:w="90" w:type="dxa"/>
              <w:end w:w="90" w:type="dxa"/>
            </w:tcMar>
          </w:tcPr>
          <w:p>
            <w:pPr>
              <w:spacing w:after="0" w:before="0"/>
            </w:pPr>
            <w:r>
              <w:rPr>
                <w:b/>
                <w:sz w:val="18"/>
              </w:rPr>
              <w:t>Date</w:t>
            </w:r>
          </w:p>
        </w:tc>
        <w:tc>
          <w:tcPr>
            <w:tcW w:w="2385" w:type="pct"/>
            <w:shd w:fill="f1f5f9" w:val="clear"/>
            <w:tcMar>
              <w:top w:w="40" w:type="dxa"/>
              <w:bottom w:w="40" w:type="dxa"/>
              <w:start w:w="90" w:type="dxa"/>
              <w:end w:w="90" w:type="dxa"/>
            </w:tcMar>
          </w:tcPr>
          <w:p>
            <w:pPr>
              <w:spacing w:after="0" w:before="0"/>
            </w:pPr>
            <w:r>
              <w:rPr>
                <w:b/>
                <w:sz w:val="18"/>
              </w:rPr>
              <w:t>Change</w:t>
            </w:r>
          </w:p>
        </w:tc>
      </w:tr>
      <w:tr>
        <w:tc>
          <w:tcPr>
            <w:tcW w:w="1069" w:type="pct"/>
            <w:tcMar>
              <w:top w:w="40" w:type="dxa"/>
              <w:bottom w:w="40" w:type="dxa"/>
              <w:start w:w="90" w:type="dxa"/>
              <w:end w:w="90" w:type="dxa"/>
            </w:tcMar>
          </w:tcPr>
          <w:p>
            <w:pPr>
              <w:spacing w:after="0" w:before="0"/>
              <w:jc w:val="center"/>
            </w:pPr>
            <w:r>
              <w:rPr>
                <w:sz w:val="18"/>
              </w:rPr>
              <w:t>3.1</w:t>
            </w:r>
          </w:p>
        </w:tc>
        <w:tc>
          <w:tcPr>
            <w:tcW w:w="1546" w:type="pct"/>
            <w:tcMar>
              <w:top w:w="40" w:type="dxa"/>
              <w:bottom w:w="40" w:type="dxa"/>
              <w:start w:w="90" w:type="dxa"/>
              <w:end w:w="90" w:type="dxa"/>
            </w:tcMar>
          </w:tcPr>
          <w:p>
            <w:pPr>
              <w:spacing w:after="0" w:before="0"/>
            </w:pPr>
            <w:r>
              <w:rPr>
                <w:sz w:val="18"/>
              </w:rPr>
              <w:t>19/08/2026</w:t>
            </w:r>
          </w:p>
        </w:tc>
        <w:tc>
          <w:tcPr>
            <w:tcW w:w="2385" w:type="pct"/>
            <w:tcMar>
              <w:top w:w="40" w:type="dxa"/>
              <w:bottom w:w="40" w:type="dxa"/>
              <w:start w:w="90" w:type="dxa"/>
              <w:end w:w="90" w:type="dxa"/>
            </w:tcMar>
          </w:tcPr>
          <w:p>
            <w:pPr>
              <w:spacing w:after="0" w:before="0"/>
            </w:pPr>
            <w:r>
              <w:rPr>
                <w:sz w:val="18"/>
              </w:rPr>
              <w:t>Published to Web Site</w:t>
            </w:r>
          </w:p>
        </w:tc>
      </w:tr>
    </w:tbl>
    <w:p>
      <w:pPr>
        <w:spacing w:before="0" w:after="0"/>
        <w:rPr>
          <w:sz w:val="8"/>
          <w:szCs w:val="8"/>
        </w:rPr>
      </w:pPr>
    </w:p>
    <w:sectPr w:rsidR="00116E53">
      <w:headerReference w:type="default" r:id="rId23"/>
      <w:headerReference w:type="first" r:id="rId24"/>
      <w:footerReference w:type="default" r:id="rId25"/>
      <w:footerReference w:type="first" r:id="rId26"/>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540" w:rsidRDefault="00115540">
      <w:pPr>
        <w:spacing w:line="240" w:lineRule="auto"/>
      </w:pPr>
      <w:r>
        <w:separator/>
      </w:r>
    </w:p>
  </w:endnote>
  <w:endnote w:type="continuationSeparator" w:id="0">
    <w:p w:rsidR="00115540" w:rsidRDefault="00115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540" w:rsidRDefault="00115540">
      <w:pPr>
        <w:spacing w:line="240" w:lineRule="auto"/>
      </w:pPr>
      <w:r>
        <w:separator/>
      </w:r>
    </w:p>
  </w:footnote>
  <w:footnote w:type="continuationSeparator" w:id="0">
    <w:p w:rsidR="00115540" w:rsidRDefault="00115540">
      <w:pPr>
        <w:spacing w:line="240" w:lineRule="auto"/>
      </w:pPr>
      <w:r>
        <w:continuationSeparator/>
      </w:r>
    </w:p>
  </w:footnote>
</w:footnotes>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d9d9d9"/>
      </w:pBdr>
      <w:tabs>
        <w:tab w:pos="9026" w:val="right"/>
      </w:tabs>
      <w:spacing w:after="0"/>
    </w:pPr>
    <w:r>
      <w:rPr>
        <w:color w:val="475569"/>
        <w:sz w:val="17"/>
      </w:rPr>
      <w:t>Shelfbot Racking Specification</w:t>
    </w:r>
    <w:r>
      <w:rPr>
        <w:color w:val="475569"/>
        <w:sz w:val="17"/>
      </w:rPr>
      <w:tab/>
      <w:t>SB-SPEC-RACK · Version 3.1</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795A"/>
    <w:multiLevelType w:val="multilevel"/>
    <w:tmpl w:val="A11E6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837C8"/>
    <w:multiLevelType w:val="multilevel"/>
    <w:tmpl w:val="8838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433F8B"/>
    <w:multiLevelType w:val="multilevel"/>
    <w:tmpl w:val="002AA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C3429CD"/>
    <w:multiLevelType w:val="multilevel"/>
    <w:tmpl w:val="8E5CF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5">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2002418222">
    <w:abstractNumId w:val="1"/>
  </w:num>
  <w:num w:numId="2" w16cid:durableId="360740353">
    <w:abstractNumId w:val="2"/>
  </w:num>
  <w:num w:numId="3" w16cid:durableId="1211117638">
    <w:abstractNumId w:val="3"/>
  </w:num>
  <w:num w:numId="4" w16cid:durableId="1900244098">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0E"/>
    <w:rsid w:val="0000526E"/>
    <w:rsid w:val="00022A24"/>
    <w:rsid w:val="00046F8A"/>
    <w:rsid w:val="000D6C59"/>
    <w:rsid w:val="00115540"/>
    <w:rsid w:val="00116E53"/>
    <w:rsid w:val="00144EFC"/>
    <w:rsid w:val="00165FB6"/>
    <w:rsid w:val="0018212A"/>
    <w:rsid w:val="002163BC"/>
    <w:rsid w:val="002222C5"/>
    <w:rsid w:val="00291270"/>
    <w:rsid w:val="00304EEA"/>
    <w:rsid w:val="003379ED"/>
    <w:rsid w:val="0036710E"/>
    <w:rsid w:val="003A393C"/>
    <w:rsid w:val="003F63E2"/>
    <w:rsid w:val="00452FBD"/>
    <w:rsid w:val="00492CF5"/>
    <w:rsid w:val="004A34A0"/>
    <w:rsid w:val="00524BCF"/>
    <w:rsid w:val="0059042D"/>
    <w:rsid w:val="005A6606"/>
    <w:rsid w:val="005B20E0"/>
    <w:rsid w:val="00602F03"/>
    <w:rsid w:val="00675CF6"/>
    <w:rsid w:val="00675E19"/>
    <w:rsid w:val="006A2BF9"/>
    <w:rsid w:val="006B1C09"/>
    <w:rsid w:val="006D5918"/>
    <w:rsid w:val="00711B4F"/>
    <w:rsid w:val="007B42F2"/>
    <w:rsid w:val="007F32FA"/>
    <w:rsid w:val="008019CB"/>
    <w:rsid w:val="00805D4C"/>
    <w:rsid w:val="0084081E"/>
    <w:rsid w:val="00844A53"/>
    <w:rsid w:val="0085298B"/>
    <w:rsid w:val="00883A57"/>
    <w:rsid w:val="008A582D"/>
    <w:rsid w:val="008C73A7"/>
    <w:rsid w:val="008D4F0B"/>
    <w:rsid w:val="00901FA8"/>
    <w:rsid w:val="00913BBC"/>
    <w:rsid w:val="009E34AC"/>
    <w:rsid w:val="00AB01D3"/>
    <w:rsid w:val="00B636F4"/>
    <w:rsid w:val="00BF435F"/>
    <w:rsid w:val="00C44C08"/>
    <w:rsid w:val="00C5009F"/>
    <w:rsid w:val="00C8205A"/>
    <w:rsid w:val="00CD5523"/>
    <w:rsid w:val="00D02571"/>
    <w:rsid w:val="00D67B8F"/>
    <w:rsid w:val="00D73FF2"/>
    <w:rsid w:val="00D8444F"/>
    <w:rsid w:val="00D85A31"/>
    <w:rsid w:val="00DC339F"/>
    <w:rsid w:val="00DC7BA1"/>
    <w:rsid w:val="00DD03DC"/>
    <w:rsid w:val="00E00EEE"/>
    <w:rsid w:val="00E1714E"/>
    <w:rsid w:val="00E6783E"/>
    <w:rsid w:val="00F1757F"/>
    <w:rsid w:val="00F205AA"/>
    <w:rsid w:val="00F425E0"/>
    <w:rsid w:val="00F65815"/>
    <w:rsid w:val="00F92435"/>
    <w:rsid w:val="00FE1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3DFE"/>
  <w15:docId w15:val="{6E2F75C7-53BC-5342-96E4-88076DE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Light" w:eastAsia="Helvetica Neue Light" w:hAnsi="Helvetica Neue Light" w:cs="Helvetica Neue Light"/>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6" w:color="999999"/>
      </w:pBdr>
      <w:spacing w:before="225" w:after="400" w:line="240" w:lineRule="auto"/>
      <w:outlineLvl w:val="0"/>
    </w:pPr>
    <w:rPr>
      <w:rFonts w:ascii="Helvetica Neue" w:eastAsia="Helvetica Neue" w:hAnsi="Helvetica Neue" w:cs="Helvetica Neue"/>
      <w:sz w:val="44"/>
      <w:szCs w:val="44"/>
    </w:rPr>
  </w:style>
  <w:style w:type="paragraph" w:styleId="Heading2">
    <w:name w:val="heading 2"/>
    <w:basedOn w:val="Normal"/>
    <w:next w:val="Normal"/>
    <w:uiPriority w:val="9"/>
    <w:unhideWhenUsed/>
    <w:qFormat/>
    <w:pPr>
      <w:keepNext/>
      <w:keepLines/>
      <w:spacing w:before="400" w:after="400" w:line="360" w:lineRule="auto"/>
      <w:outlineLvl w:val="1"/>
    </w:pPr>
    <w:rPr>
      <w:rFonts w:ascii="Helvetica Neue" w:eastAsia="Helvetica Neue" w:hAnsi="Helvetica Neue" w:cs="Helvetica Neue"/>
      <w:sz w:val="36"/>
      <w:szCs w:val="36"/>
    </w:rPr>
  </w:style>
  <w:style w:type="paragraph" w:styleId="Heading3">
    <w:name w:val="heading 3"/>
    <w:basedOn w:val="Normal"/>
    <w:next w:val="Normal"/>
    <w:uiPriority w:val="9"/>
    <w:unhideWhenUsed/>
    <w:qFormat/>
    <w:pPr>
      <w:keepNext/>
      <w:keepLines/>
      <w:spacing w:before="160" w:after="100"/>
      <w:outlineLvl w:val="2"/>
    </w:pPr>
    <w:rPr>
      <w:rFonts w:ascii="Helvetica Neue" w:eastAsia="Helvetica Neue" w:hAnsi="Helvetica Neue" w:cs="Helvetica Neue"/>
      <w:b/>
      <w:bCs/>
      <w:color w:val="2B6991"/>
      <w:sz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b/>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b/>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Footer">
    <w:name w:val="footer"/>
    <w:basedOn w:val="Normal"/>
    <w:link w:val="FooterChar"/>
    <w:uiPriority w:val="99"/>
    <w:unhideWhenUsed/>
    <w:rsid w:val="00046F8A"/>
    <w:pPr>
      <w:tabs>
        <w:tab w:val="center" w:pos="4513"/>
        <w:tab w:val="right" w:pos="9026"/>
      </w:tabs>
      <w:spacing w:line="240" w:lineRule="auto"/>
    </w:pPr>
  </w:style>
  <w:style w:type="character" w:customStyle="1" w:styleId="FooterChar">
    <w:name w:val="Footer Char"/>
    <w:basedOn w:val="DefaultParagraphFont"/>
    <w:link w:val="Footer"/>
    <w:uiPriority w:val="99"/>
    <w:rsid w:val="00046F8A"/>
  </w:style>
  <w:style w:type="character" w:styleId="Hyperlink">
    <w:name w:val="Hyperlink"/>
    <w:basedOn w:val="DefaultParagraphFont"/>
    <w:uiPriority w:val="99"/>
    <w:unhideWhenUsed/>
    <w:rsid w:val="00524BCF"/>
    <w:rPr>
      <w:color w:val="0000FF" w:themeColor="hyperlink"/>
      <w:u w:val="single"/>
    </w:rPr>
  </w:style>
  <w:style w:type="character" w:styleId="UnresolvedMention">
    <w:name w:val="Unresolved Mention"/>
    <w:basedOn w:val="DefaultParagraphFont"/>
    <w:uiPriority w:val="99"/>
    <w:semiHidden/>
    <w:unhideWhenUsed/>
    <w:rsid w:val="00524BCF"/>
    <w:rPr>
      <w:color w:val="605E5C"/>
      <w:shd w:val="clear" w:color="auto" w:fill="E1DFDD"/>
    </w:rPr>
  </w:style>
  <w:style w:type="paragraph" w:styleId="ListParagraph">
    <w:name w:val="List Paragraph"/>
    <w:basedOn w:val="Normal"/>
    <w:uiPriority w:val="34"/>
    <w:qFormat/>
    <w:rsid w:val="00BF435F"/>
    <w:pPr>
      <w:ind w:left="720"/>
      <w:contextualSpacing/>
    </w:pPr>
  </w:style>
  <w:style w:type="paragraph" w:customStyle="1" w:styleId="ListBullet">
    <w:name w:val="List Bullet"/>
    <w:basedOn w:val="Normal"/>
    <w:qFormat/>
    <w:pPr>
      <w:spacing w:after="60"/>
      <w:contextualSpacing/>
    </w:pPr>
  </w:style>
  <w:style w:type="paragraph" w:customStyle="1" w:styleId="ListNumber">
    <w:name w:val="List Number"/>
    <w:basedOn w:val="Normal"/>
    <w:qFormat/>
    <w:pPr>
      <w:spacing w:after="60"/>
      <w:contextualSpacing/>
    </w:pPr>
  </w:style>
  <w:style w:type="paragraph" w:customStyle="1" w:styleId="Caption">
    <w:name w:val="caption"/>
    <w:basedOn w:val="Normal"/>
    <w:qFormat/>
    <w:pPr>
      <w:spacing w:before="40" w:after="200"/>
      <w:jc w:val="center"/>
    </w:pPr>
    <w:rPr>
      <w:i/>
      <w:color w:val="475569"/>
      <w:sz w:val="18"/>
    </w:rPr>
  </w:style>
  <w:style w:type="paragraph" w:customStyle="1" w:styleId="CodeBlock">
    <w:name w:val="Code Block"/>
    <w:basedOn w:val="Normal"/>
    <w:qFormat/>
    <w:pPr>
      <w:spacing w:after="0" w:before="0" w:line="240" w:lineRule="auto"/>
    </w:pPr>
    <w:rPr>
      <w:rFonts w:ascii="Liberation Mono" w:hAnsi="Liberation Mono" w:cs="Liberation Mono" w:eastAsia="Liberation Mon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7" Type="http://schemas.openxmlformats.org/officeDocument/2006/relationships/image" Target="media/image3.jp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9.jpg"/><Relationship Id="rId23" Type="http://schemas.openxmlformats.org/officeDocument/2006/relationships/header" Target="header4.xml"/><Relationship Id="rId24" Type="http://schemas.openxmlformats.org/officeDocument/2006/relationships/header" Target="header5.xml"/><Relationship Id="rId25" Type="http://schemas.openxmlformats.org/officeDocument/2006/relationships/footer" Target="footer4.xml"/><Relationship Id="rId26"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SHELFBOT O'Dea</cp:lastModifiedBy>
  <cp:revision>41</cp:revision>
  <dcterms:created xsi:type="dcterms:W3CDTF">2026-02-09T05:22:00Z</dcterms:created>
  <dcterms:modified xsi:type="dcterms:W3CDTF">2026-05-13T22:20:00Z</dcterms:modified>
  <dc:title>Shelfbot Racking Specification</dc:title>
  <dc:subject>SB-SPEC-RACK · Version 3.1 · 14 August 2026</dc:subject>
  <dc:creator>Shelfbot</dc:creator>
</cp:coreProperties>
</file>