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>
      <w:pPr>
        <w:pStyle w:val="Title"/>
        <w:spacing w:after="80"/>
      </w:pPr>
      <w:r>
        <w:rPr>
          <w:color w:val="0F172A"/>
        </w:rPr>
        <w:t>Shelfbot Time &amp; Materials Rate Card 2026</w:t>
      </w:r>
    </w:p>
    <w:p>
      <w:pPr>
        <w:pBdr>
          <w:bottom w:val="single" w:sz="6" w:space="8" w:color="d9d9d9"/>
        </w:pBdr>
        <w:spacing w:after="280"/>
      </w:pPr>
      <w:r>
        <w:rPr>
          <w:color w:val="475569"/>
          <w:sz w:val="20"/>
        </w:rPr>
        <w:t>SB-SPEC-RATES · Version 3.1 · 15 July 2026</w:t>
      </w:r>
    </w:p>
    <w:p>
      <w:pPr>
        <w:pStyle w:val="Heading2"/>
      </w:pPr>
      <w:r>
        <w:t>1. Introduction</w:t>
      </w:r>
    </w:p>
    <w:p>
      <w:pPr>
        <w:spacing w:after="120"/>
      </w:pPr>
      <w:r>
        <w:t>This document sets out Shelfbot's standard time-and-materials rates for work performed outside the scope of the Shelfbot Robotics-as-a-Service (RaaS) subscription. It applies to integration work beyond the agreed baseline, out-of-scope investigation of reported issues, customer-requested variations and additional services, and any other work agreed to be charged on a time-and-materials basis.</w:t>
      </w:r>
    </w:p>
    <w:p>
      <w:pPr>
        <w:spacing w:after="120"/>
      </w:pPr>
      <w:r>
        <w:t>All rates are in Australian dollars (AUD) and exclusive of GST. This rate card is governed by the laws of Victoria, Australia.</w:t>
      </w:r>
    </w:p>
    <w:p>
      <w:pPr>
        <w:pStyle w:val="Heading2"/>
      </w:pPr>
      <w:r>
        <w:t>2. Purpose &amp; Scope</w:t>
      </w:r>
    </w:p>
    <w:p>
      <w:pPr>
        <w:pStyle w:val="Heading3"/>
      </w:pPr>
      <w:r>
        <w:t>2.1 Purpose</w:t>
      </w:r>
    </w:p>
    <w:p>
      <w:pPr>
        <w:spacing w:after="120"/>
      </w:pPr>
      <w:r>
        <w:t>To provide a single, transparent schedule of charge-out rates, loadings, and disbursement terms so that time-and-materials work can be estimated, authorised, and invoiced on a consistent and predictable basis.</w:t>
      </w:r>
    </w:p>
    <w:p>
      <w:pPr>
        <w:pStyle w:val="Heading3"/>
      </w:pPr>
      <w:r>
        <w:t>2.2 Scope</w:t>
      </w:r>
    </w:p>
    <w:p>
      <w:pPr>
        <w:spacing w:after="120"/>
      </w:pPr>
      <w:r>
        <w:t xml:space="preserve">This document </w:t>
      </w:r>
      <w:r>
        <w:rPr>
          <w:b/>
        </w:rPr>
        <w:t>covers</w:t>
      </w:r>
      <w:r>
        <w:t>:</w:t>
      </w:r>
    </w:p>
    <w:p>
      <w:pPr>
        <w:pStyle w:val="ListBullet"/>
        <w:numPr>
          <w:ilvl w:val="0"/>
          <w:numId w:val="5"/>
        </w:numPr>
      </w:pPr>
      <w:r>
        <w:t>Professional services charge-out rates by role</w:t>
      </w:r>
    </w:p>
    <w:p>
      <w:pPr>
        <w:pStyle w:val="ListBullet"/>
        <w:numPr>
          <w:ilvl w:val="0"/>
          <w:numId w:val="5"/>
        </w:numPr>
      </w:pPr>
      <w:r>
        <w:t>Standard business hours and out-of-hours loadings</w:t>
      </w:r>
    </w:p>
    <w:p>
      <w:pPr>
        <w:pStyle w:val="ListBullet"/>
        <w:numPr>
          <w:ilvl w:val="0"/>
          <w:numId w:val="5"/>
        </w:numPr>
      </w:pPr>
      <w:r>
        <w:t>Emergency and unscheduled call-out terms</w:t>
      </w:r>
    </w:p>
    <w:p>
      <w:pPr>
        <w:pStyle w:val="ListBullet"/>
        <w:numPr>
          <w:ilvl w:val="0"/>
          <w:numId w:val="5"/>
        </w:numPr>
      </w:pPr>
      <w:r>
        <w:t>Travel time and disbursements</w:t>
      </w:r>
    </w:p>
    <w:p>
      <w:pPr>
        <w:pStyle w:val="ListBullet"/>
        <w:numPr>
          <w:ilvl w:val="0"/>
          <w:numId w:val="5"/>
        </w:numPr>
      </w:pPr>
      <w:r>
        <w:t>Materials and third-party services</w:t>
      </w:r>
    </w:p>
    <w:p>
      <w:pPr>
        <w:pStyle w:val="ListBullet"/>
        <w:numPr>
          <w:ilvl w:val="0"/>
          <w:numId w:val="5"/>
        </w:numPr>
        <w:spacing w:after="120"/>
      </w:pPr>
      <w:r>
        <w:t>Rate review and payment terms</w:t>
      </w:r>
    </w:p>
    <w:p>
      <w:pPr>
        <w:spacing w:after="120"/>
      </w:pPr>
      <w:r>
        <w:t xml:space="preserve">This document </w:t>
      </w:r>
      <w:r>
        <w:rPr>
          <w:b/>
        </w:rPr>
        <w:t>does not cover</w:t>
      </w:r>
      <w:r>
        <w:t>:</w:t>
      </w:r>
    </w:p>
    <w:p>
      <w:pPr>
        <w:pStyle w:val="ListBullet"/>
        <w:numPr>
          <w:ilvl w:val="0"/>
          <w:numId w:val="5"/>
        </w:numPr>
      </w:pPr>
      <w:r>
        <w:t>Fees for the Shelfbot subscription itself, which are set out in the applicable subscription agreement</w:t>
      </w:r>
    </w:p>
    <w:p>
      <w:pPr>
        <w:pStyle w:val="ListBullet"/>
        <w:numPr>
          <w:ilvl w:val="0"/>
          <w:numId w:val="5"/>
        </w:numPr>
      </w:pPr>
      <w:r>
        <w:t>Maintenance and support services included within the subscription</w:t>
      </w:r>
    </w:p>
    <w:p>
      <w:pPr>
        <w:pStyle w:val="ListBullet"/>
        <w:numPr>
          <w:ilvl w:val="0"/>
          <w:numId w:val="5"/>
        </w:numPr>
        <w:spacing w:after="120"/>
      </w:pPr>
      <w:r>
        <w:t>Spare parts and consumables supplied under the subscription</w:t>
      </w:r>
    </w:p>
    <w:p>
      <w:pPr>
        <w:pStyle w:val="Heading2"/>
      </w:pPr>
      <w:r>
        <w:t>3. Application</w:t>
      </w:r>
    </w:p>
    <w:p>
      <w:pPr>
        <w:spacing w:after="120"/>
      </w:pPr>
      <w:r>
        <w:t>Time-and-materials charges apply to work authorised by the Customer that falls outside the subscription scope, including:</w:t>
      </w:r>
    </w:p>
    <w:p>
      <w:pPr>
        <w:pStyle w:val="ListBullet"/>
        <w:numPr>
          <w:ilvl w:val="0"/>
          <w:numId w:val="5"/>
        </w:numPr>
      </w:pPr>
      <w:r>
        <w:t>Integration or configuration work beyond the agreed baseline in the Technical Specifications</w:t>
      </w:r>
    </w:p>
    <w:p>
      <w:pPr>
        <w:pStyle w:val="ListBullet"/>
        <w:numPr>
          <w:ilvl w:val="0"/>
          <w:numId w:val="5"/>
        </w:numPr>
      </w:pPr>
      <w:r>
        <w:t>Investigation of a reported issue that, on investigation, is found not to be a Shelfbot responsibility under the subscription</w:t>
      </w:r>
    </w:p>
    <w:p>
      <w:pPr>
        <w:pStyle w:val="ListBullet"/>
        <w:numPr>
          <w:ilvl w:val="0"/>
          <w:numId w:val="5"/>
        </w:numPr>
      </w:pPr>
      <w:r>
        <w:t>Customer-requested changes, additional configuration, additional training, or other variations</w:t>
      </w:r>
    </w:p>
    <w:p>
      <w:pPr>
        <w:pStyle w:val="ListBullet"/>
        <w:numPr>
          <w:ilvl w:val="0"/>
          <w:numId w:val="5"/>
        </w:numPr>
        <w:spacing w:after="120"/>
      </w:pPr>
      <w:r>
        <w:t>Any other services agreed in writing to be charged on this basis</w:t>
      </w:r>
    </w:p>
    <w:p>
      <w:pPr>
        <w:spacing w:after="120"/>
      </w:pPr>
      <w:r>
        <w:t>Work is undertaken only on the Customer's written authorisation. Before work commences, Shelfbot will provide reasonable details of the required work together with a written estimate of the hours and cost involved, and will notify the Customer before any approved estimate is exceeded.</w:t>
      </w:r>
    </w:p>
    <w:p>
      <w:pPr>
        <w:pStyle w:val="Heading2"/>
      </w:pPr>
      <w:r>
        <w:t>4. Professional Services Rates</w:t>
      </w:r>
    </w:p>
    <w:p>
      <w:pPr>
        <w:spacing w:after="120"/>
      </w:pPr>
      <w:r>
        <w:t>Standard business hours are Monday to Friday, 7:00 am to 6:00 pm local time, excluding public holidays in the place where the services are performed.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2540"/>
        <w:gridCol w:w="1217"/>
        <w:gridCol w:w="1243"/>
      </w:tblGrid>
      <w:tr>
        <w:trPr>
          <w:tblHeader/>
        </w:trPr>
        <w:tc>
          <w:tcPr>
            <w:tcW w:w="2540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Role</w:t>
            </w:r>
          </w:p>
        </w:tc>
        <w:tc>
          <w:tcPr>
            <w:tcW w:w="1217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Hourly (ex GST)</w:t>
            </w:r>
          </w:p>
        </w:tc>
        <w:tc>
          <w:tcPr>
            <w:tcW w:w="1243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Daily (ex GST)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Principal Engineer / Solutions Architect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$290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$2,200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Software / Integration Engineer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$220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$1,680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Robotics / Controls Engineer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$210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$1,600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Field Service Technician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$165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$1,250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Project Manager / Coordinator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$200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$1,520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Safety / Compliance Consultant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$240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$1,820</w:t>
            </w:r>
          </w:p>
        </w:tc>
      </w:tr>
      <w:tr>
        <w:tc>
          <w:tcPr>
            <w:tcW w:w="2540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Data / Business Analyst</w:t>
            </w:r>
          </w:p>
        </w:tc>
        <w:tc>
          <w:tcPr>
            <w:tcW w:w="1217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$190</w:t>
            </w:r>
          </w:p>
        </w:tc>
        <w:tc>
          <w:tcPr>
            <w:tcW w:w="1243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$1,450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spacing w:after="120"/>
      </w:pPr>
      <w:r>
        <w:t xml:space="preserve">A day comprises up to eight (8) hours on site. Day rates apply to full-day bookings; part-days are charged hourly. On-site work is billed subject to the call-out minimums in </w:t>
      </w:r>
      <w:r>
        <w:rPr>
          <w:i/>
        </w:rPr>
        <w:t>Out-of-Hours Loadings</w:t>
      </w:r>
      <w:r>
        <w:t>. Remote work is billed in 15-minute increments, subject to a one (1) hour minimum per request.</w:t>
      </w:r>
    </w:p>
    <w:p>
      <w:pPr>
        <w:pStyle w:val="Heading2"/>
      </w:pPr>
      <w:r>
        <w:t>5. Out-of-Hours Loadings</w:t>
      </w:r>
    </w:p>
    <w:p>
      <w:pPr>
        <w:spacing w:after="120"/>
      </w:pPr>
      <w:r>
        <w:t xml:space="preserve">The following loadings apply to the hourly rates in </w:t>
      </w:r>
      <w:r>
        <w:rPr>
          <w:i/>
        </w:rPr>
        <w:t>Professional Services Rates</w:t>
      </w:r>
      <w:r>
        <w:t>: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3701"/>
        <w:gridCol w:w="1299"/>
      </w:tblGrid>
      <w:tr>
        <w:trPr>
          <w:tblHeader/>
        </w:trPr>
        <w:tc>
          <w:tcPr>
            <w:tcW w:w="3701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Period</w:t>
            </w:r>
          </w:p>
        </w:tc>
        <w:tc>
          <w:tcPr>
            <w:tcW w:w="1299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Loading</w:t>
            </w:r>
          </w:p>
        </w:tc>
      </w:tr>
      <w:tr>
        <w:tc>
          <w:tcPr>
            <w:tcW w:w="370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Standard business hours (Monday–Friday, 7:00 am – 6:00 pm)</w:t>
            </w:r>
          </w:p>
        </w:tc>
        <w:tc>
          <w:tcPr>
            <w:tcW w:w="129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1.0×</w:t>
            </w:r>
          </w:p>
        </w:tc>
      </w:tr>
      <w:tr>
        <w:tc>
          <w:tcPr>
            <w:tcW w:w="370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Outside standard business hours (Monday–Friday)</w:t>
            </w:r>
          </w:p>
        </w:tc>
        <w:tc>
          <w:tcPr>
            <w:tcW w:w="129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1.5×</w:t>
            </w:r>
          </w:p>
        </w:tc>
      </w:tr>
      <w:tr>
        <w:tc>
          <w:tcPr>
            <w:tcW w:w="370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Saturday</w:t>
            </w:r>
          </w:p>
        </w:tc>
        <w:tc>
          <w:tcPr>
            <w:tcW w:w="129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1.5×</w:t>
            </w:r>
          </w:p>
        </w:tc>
      </w:tr>
      <w:tr>
        <w:tc>
          <w:tcPr>
            <w:tcW w:w="370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Sunday</w:t>
            </w:r>
          </w:p>
        </w:tc>
        <w:tc>
          <w:tcPr>
            <w:tcW w:w="129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2.0×</w:t>
            </w:r>
          </w:p>
        </w:tc>
      </w:tr>
      <w:tr>
        <w:tc>
          <w:tcPr>
            <w:tcW w:w="3701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Public holiday</w:t>
            </w:r>
          </w:p>
        </w:tc>
        <w:tc>
          <w:tcPr>
            <w:tcW w:w="129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2.5×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p>
      <w:pPr>
        <w:spacing w:after="120"/>
      </w:pPr>
      <w:r>
        <w:t>Emergency or unscheduled attendance is subject to a minimum charge of four (4) hours for on-site attendance and one (1) hour for remote attendance, at the applicable rate. Scheduled maintenance and support services provided under the subscription are not charged under this rate card.</w:t>
      </w:r>
    </w:p>
    <w:p>
      <w:pPr>
        <w:pStyle w:val="Heading2"/>
      </w:pPr>
      <w:r>
        <w:t>6. Travel &amp; Disbursements</w:t>
      </w:r>
    </w:p>
    <w:p>
      <w:pPr>
        <w:spacing w:after="120"/>
      </w:pPr>
      <w:r>
        <w:t>Where on-site attendance requires travel, the following apply: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Travel time</w:t>
      </w:r>
      <w:r>
        <w:t xml:space="preserve"> is charged at 50% of the applicable hourly rate, portal to portal, capped at eight (8) hours per person per day.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Vehicle use</w:t>
      </w:r>
      <w:r>
        <w:t xml:space="preserve"> (own vehicle) is charged at the ATO cents-per-kilometre rate, currently $0.91 per kilometre, updated on issue of each annual ATO determination.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Airfares</w:t>
      </w:r>
      <w:r>
        <w:t xml:space="preserve"> are economy class, at cost, and pre-approved by the Customer for any attendance requiring air travel.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Accommodation and meals</w:t>
      </w:r>
      <w:r>
        <w:t xml:space="preserve"> are at cost, to a reasonable standard, and pre-approved for any attendance requiring an overnight stay.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Tolls, parking, and taxi or rideshare</w:t>
      </w:r>
      <w:r>
        <w:t xml:space="preserve"> are charged at cost.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Hire car or van</w:t>
      </w:r>
      <w:r>
        <w:t xml:space="preserve"> where a hire vehicle is required, the rental cost and associated fuel are charged at cost and pre-approved by the Customer. The cents-per-kilometre charge does not apply to hire vehicles.</w:t>
      </w:r>
    </w:p>
    <w:p>
      <w:pPr>
        <w:spacing w:after="120"/>
      </w:pPr>
      <w:r>
        <w:t>Travel disbursements are supported by receipts and passed through at cost with no handling margin.</w:t>
      </w:r>
    </w:p>
    <w:p>
      <w:pPr>
        <w:pStyle w:val="Heading2"/>
      </w:pPr>
      <w:r>
        <w:t>7. Materials &amp; Third-Party Services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Parts and materials</w:t>
      </w:r>
      <w:r>
        <w:t xml:space="preserve"> not supplied under the subscription are charged at cost plus 15%.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Subcontracted or third-party services</w:t>
      </w:r>
      <w:r>
        <w:t xml:space="preserve"> are charged at cost plus 15%.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Freight and delivery</w:t>
      </w:r>
      <w:r>
        <w:t xml:space="preserve"> charges are at cost.</w:t>
      </w:r>
    </w:p>
    <w:p>
      <w:pPr>
        <w:spacing w:after="120"/>
      </w:pPr>
      <w:r>
        <w:t>Estimates for material and third-party costs are provided for approval before those costs are committed.</w:t>
      </w:r>
    </w:p>
    <w:p>
      <w:pPr>
        <w:pStyle w:val="Heading2"/>
      </w:pPr>
      <w:r>
        <w:t>8. Rate Review</w:t>
      </w:r>
    </w:p>
    <w:p>
      <w:pPr>
        <w:spacing w:after="120"/>
      </w:pPr>
      <w:r>
        <w:t xml:space="preserve">Rates are fixed for the period 1 July 2026 to 30 June 2027. On 1 July each year, rates are reviewed and adjusted by the annual movement in the Consumer Price Index (All Groups CPI, Australia; ABS Series ID A2325846C), consistent with the fee-adjustment mechanism of the applicable subscription agreement. Any adjustment above CPI is by written agreement of the parties. The cents-per-kilometre figure in </w:t>
      </w:r>
      <w:r>
        <w:rPr>
          <w:i/>
        </w:rPr>
        <w:t>Travel &amp; Disbursements</w:t>
      </w:r>
      <w:r>
        <w:t xml:space="preserve"> updates to the then-current ATO determination.</w:t>
      </w:r>
    </w:p>
    <w:p>
      <w:pPr>
        <w:pStyle w:val="Heading2"/>
      </w:pPr>
      <w:r>
        <w:t>9. Payment &amp; GST</w:t>
      </w:r>
    </w:p>
    <w:p>
      <w:pPr>
        <w:pStyle w:val="ListBullet"/>
        <w:numPr>
          <w:ilvl w:val="0"/>
          <w:numId w:val="5"/>
        </w:numPr>
      </w:pPr>
      <w:r>
        <w:t>Time-and-materials work is invoiced monthly in arrears, or as otherwise agreed.</w:t>
      </w:r>
    </w:p>
    <w:p>
      <w:pPr>
        <w:pStyle w:val="ListBullet"/>
        <w:numPr>
          <w:ilvl w:val="0"/>
          <w:numId w:val="5"/>
        </w:numPr>
      </w:pPr>
      <w:r>
        <w:t>Invoices are payable in accordance with the payment terms of the applicable subscription agreement.</w:t>
      </w:r>
    </w:p>
    <w:p>
      <w:pPr>
        <w:pStyle w:val="ListBullet"/>
        <w:numPr>
          <w:ilvl w:val="0"/>
          <w:numId w:val="5"/>
        </w:numPr>
        <w:spacing w:after="120"/>
      </w:pPr>
      <w:r>
        <w:t>All rates are exclusive of GST; GST is charged where applicable.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10. Revision History</w:t>
      </w:r>
    </w:p>
    <w:tbl>
      <w:tblPr>
        <w:tblW w:type="pct" w:w="5000"/>
        <w:jc w:val="center"/>
        <w:tblBorders>
          <w:top w:val="single" w:sz="4" w:space="0" w:color="D9D9D9"/>
          <w:bottom w:val="single" w:sz="4" w:space="0" w:color="D9D9D9"/>
          <w:left w:val="single" w:sz="4" w:space="0" w:color="D9D9D9"/>
          <w:right w:val="single" w:sz="4" w:space="0" w:color="D9D9D9"/>
          <w:insideH w:val="single" w:sz="4" w:space="0" w:color="D9D9D9"/>
          <w:insideV w:val="none" w:sz="0" w:space="0"/>
        </w:tblBorders>
        <w:tblLayout w:type="fixed"/>
        <w:tblLook w:firstColumn="1" w:firstRow="1" w:lastColumn="0" w:lastRow="0" w:noHBand="0" w:noVBand="1" w:val="04A0"/>
      </w:tblPr>
      <w:tblGrid>
        <w:gridCol w:w="1069"/>
        <w:gridCol w:w="1546"/>
        <w:gridCol w:w="2385"/>
      </w:tblGrid>
      <w:tr>
        <w:trPr>
          <w:tblHeader/>
        </w:trPr>
        <w:tc>
          <w:tcPr>
            <w:tcW w:w="1069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Version</w:t>
            </w:r>
          </w:p>
        </w:tc>
        <w:tc>
          <w:tcPr>
            <w:tcW w:w="1546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2385" w:type="pct"/>
            <w:shd w:fill="f1f5f9" w:val="clear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Change</w:t>
            </w:r>
          </w:p>
        </w:tc>
      </w:tr>
      <w:tr>
        <w:tc>
          <w:tcPr>
            <w:tcW w:w="1069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  <w:jc w:val="center"/>
            </w:pPr>
            <w:r>
              <w:rPr>
                <w:sz w:val="18"/>
              </w:rPr>
              <w:t>3.1</w:t>
            </w:r>
          </w:p>
        </w:tc>
        <w:tc>
          <w:tcPr>
            <w:tcW w:w="1546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19/08/2026</w:t>
            </w:r>
          </w:p>
        </w:tc>
        <w:tc>
          <w:tcPr>
            <w:tcW w:w="2385" w:type="pct"/>
            <w:tcMar>
              <w:top w:w="40" w:type="dxa"/>
              <w:bottom w:w="40" w:type="dxa"/>
              <w:start w:w="90" w:type="dxa"/>
              <w:end w:w="90" w:type="dxa"/>
            </w:tcMar>
          </w:tcPr>
          <w:p>
            <w:pPr>
              <w:spacing w:after="0" w:before="0"/>
            </w:pPr>
            <w:r>
              <w:rPr>
                <w:sz w:val="18"/>
              </w:rPr>
              <w:t>Published to Web Site</w:t>
            </w:r>
          </w:p>
        </w:tc>
      </w:tr>
    </w:tbl>
    <w:p>
      <w:pPr>
        <w:spacing w:before="0" w:after="0"/>
        <w:rPr>
          <w:sz w:val="8"/>
          <w:szCs w:val="8"/>
        </w:rPr>
      </w:pPr>
    </w:p>
    <w:sectPr w:rsidR="00116E53">
      <w:headerReference w:type="default" r:id="rId17"/>
      <w:headerReference w:type="first" r:id="rId18"/>
      <w:footerReference w:type="default" r:id="rId19"/>
      <w:footerReference w:type="first" r:id="rId20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5540" w:rsidRDefault="00115540">
      <w:pPr>
        <w:spacing w:line="240" w:lineRule="auto"/>
      </w:pPr>
      <w:r>
        <w:separator/>
      </w:r>
    </w:p>
  </w:endnote>
  <w:endnote w:type="continuationSeparator" w:id="0">
    <w:p w:rsidR="00115540" w:rsidRDefault="0011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5540" w:rsidRDefault="00115540">
      <w:pPr>
        <w:spacing w:line="240" w:lineRule="auto"/>
      </w:pPr>
      <w:r>
        <w:separator/>
      </w:r>
    </w:p>
  </w:footnote>
  <w:footnote w:type="continuationSeparator" w:id="0">
    <w:p w:rsidR="00115540" w:rsidRDefault="00115540">
      <w:pPr>
        <w:spacing w:line="240" w:lineRule="auto"/>
      </w:pPr>
      <w:r>
        <w:continuationSeparator/>
      </w:r>
    </w:p>
  </w:footnote>
</w:footnotes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4" w:color="d9d9d9"/>
      </w:pBdr>
      <w:tabs>
        <w:tab w:pos="9026" w:val="right"/>
      </w:tabs>
      <w:spacing w:after="0"/>
    </w:pPr>
    <w:r>
      <w:rPr>
        <w:color w:val="475569"/>
        <w:sz w:val="17"/>
      </w:rPr>
      <w:t>Shelfbot Time &amp; Materials Rate Card 2026</w:t>
    </w:r>
    <w:r>
      <w:rPr>
        <w:color w:val="475569"/>
        <w:sz w:val="17"/>
      </w:rPr>
      <w:tab/>
      <w:t>SB-SPEC-RATES · Version 3.1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95A"/>
    <w:multiLevelType w:val="multilevel"/>
    <w:tmpl w:val="A11E6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7837C8"/>
    <w:multiLevelType w:val="multilevel"/>
    <w:tmpl w:val="88385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33F8B"/>
    <w:multiLevelType w:val="multilevel"/>
    <w:tmpl w:val="002AA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3429CD"/>
    <w:multiLevelType w:val="multilevel"/>
    <w:tmpl w:val="8E5CF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•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•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02418222">
    <w:abstractNumId w:val="1"/>
  </w:num>
  <w:num w:numId="2" w16cid:durableId="360740353">
    <w:abstractNumId w:val="2"/>
  </w:num>
  <w:num w:numId="3" w16cid:durableId="1211117638">
    <w:abstractNumId w:val="3"/>
  </w:num>
  <w:num w:numId="4" w16cid:durableId="1900244098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0E"/>
    <w:rsid w:val="0000526E"/>
    <w:rsid w:val="00022A24"/>
    <w:rsid w:val="00046F8A"/>
    <w:rsid w:val="000D6C59"/>
    <w:rsid w:val="00115540"/>
    <w:rsid w:val="00116E53"/>
    <w:rsid w:val="00144EFC"/>
    <w:rsid w:val="00165FB6"/>
    <w:rsid w:val="0018212A"/>
    <w:rsid w:val="002163BC"/>
    <w:rsid w:val="002222C5"/>
    <w:rsid w:val="00291270"/>
    <w:rsid w:val="00304EEA"/>
    <w:rsid w:val="003379ED"/>
    <w:rsid w:val="0036710E"/>
    <w:rsid w:val="003A393C"/>
    <w:rsid w:val="003F63E2"/>
    <w:rsid w:val="00452FBD"/>
    <w:rsid w:val="00492CF5"/>
    <w:rsid w:val="004A34A0"/>
    <w:rsid w:val="00524BCF"/>
    <w:rsid w:val="0059042D"/>
    <w:rsid w:val="005A6606"/>
    <w:rsid w:val="005B20E0"/>
    <w:rsid w:val="00602F03"/>
    <w:rsid w:val="00675CF6"/>
    <w:rsid w:val="00675E19"/>
    <w:rsid w:val="006A2BF9"/>
    <w:rsid w:val="006B1C09"/>
    <w:rsid w:val="006D5918"/>
    <w:rsid w:val="00711B4F"/>
    <w:rsid w:val="007B42F2"/>
    <w:rsid w:val="007F32FA"/>
    <w:rsid w:val="008019CB"/>
    <w:rsid w:val="00805D4C"/>
    <w:rsid w:val="0084081E"/>
    <w:rsid w:val="00844A53"/>
    <w:rsid w:val="0085298B"/>
    <w:rsid w:val="00883A57"/>
    <w:rsid w:val="008A582D"/>
    <w:rsid w:val="008C73A7"/>
    <w:rsid w:val="008D4F0B"/>
    <w:rsid w:val="00901FA8"/>
    <w:rsid w:val="00913BBC"/>
    <w:rsid w:val="009E34AC"/>
    <w:rsid w:val="00AB01D3"/>
    <w:rsid w:val="00B636F4"/>
    <w:rsid w:val="00BF435F"/>
    <w:rsid w:val="00C44C08"/>
    <w:rsid w:val="00C5009F"/>
    <w:rsid w:val="00C8205A"/>
    <w:rsid w:val="00CD5523"/>
    <w:rsid w:val="00D02571"/>
    <w:rsid w:val="00D67B8F"/>
    <w:rsid w:val="00D73FF2"/>
    <w:rsid w:val="00D8444F"/>
    <w:rsid w:val="00D85A31"/>
    <w:rsid w:val="00DC339F"/>
    <w:rsid w:val="00DC7BA1"/>
    <w:rsid w:val="00DD03DC"/>
    <w:rsid w:val="00E00EEE"/>
    <w:rsid w:val="00E1714E"/>
    <w:rsid w:val="00E6783E"/>
    <w:rsid w:val="00F1757F"/>
    <w:rsid w:val="00F205AA"/>
    <w:rsid w:val="00F425E0"/>
    <w:rsid w:val="00F65815"/>
    <w:rsid w:val="00F92435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3DFE"/>
  <w15:docId w15:val="{6E2F75C7-53BC-5342-96E4-88076DE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lang w:val="en-A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6" w:color="999999"/>
      </w:pBdr>
      <w:spacing w:before="225" w:after="400" w:line="240" w:lineRule="auto"/>
      <w:outlineLvl w:val="0"/>
    </w:pPr>
    <w:rPr>
      <w:rFonts w:ascii="Helvetica Neue" w:eastAsia="Helvetica Neue" w:hAnsi="Helvetica Neue" w:cs="Helvetica Neue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400" w:line="360" w:lineRule="auto"/>
      <w:outlineLvl w:val="1"/>
    </w:pPr>
    <w:rPr>
      <w:rFonts w:ascii="Helvetica Neue" w:eastAsia="Helvetica Neue" w:hAnsi="Helvetica Neue" w:cs="Helvetica Neue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100"/>
      <w:outlineLvl w:val="2"/>
    </w:pPr>
    <w:rPr>
      <w:rFonts w:ascii="Helvetica Neue" w:eastAsia="Helvetica Neue" w:hAnsi="Helvetica Neue" w:cs="Helvetica Neue"/>
      <w:b/>
      <w:bCs/>
      <w:color w:val="2B6991"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b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b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6F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F8A"/>
  </w:style>
  <w:style w:type="character" w:styleId="Hyperlink">
    <w:name w:val="Hyperlink"/>
    <w:basedOn w:val="DefaultParagraphFont"/>
    <w:uiPriority w:val="99"/>
    <w:unhideWhenUsed/>
    <w:rsid w:val="0052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B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435F"/>
    <w:pPr>
      <w:ind w:left="720"/>
      <w:contextualSpacing/>
    </w:pPr>
  </w:style>
  <w:style w:type="paragraph" w:customStyle="1" w:styleId="ListBullet">
    <w:name w:val="List Bullet"/>
    <w:basedOn w:val="Normal"/>
    <w:qFormat/>
    <w:pPr>
      <w:spacing w:after="60"/>
      <w:contextualSpacing/>
    </w:pPr>
  </w:style>
  <w:style w:type="paragraph" w:customStyle="1" w:styleId="ListNumber">
    <w:name w:val="List Number"/>
    <w:basedOn w:val="Normal"/>
    <w:qFormat/>
    <w:pPr>
      <w:spacing w:after="60"/>
      <w:contextualSpacing/>
    </w:pPr>
  </w:style>
  <w:style w:type="paragraph" w:customStyle="1" w:styleId="Caption">
    <w:name w:val="caption"/>
    <w:basedOn w:val="Normal"/>
    <w:qFormat/>
    <w:pPr>
      <w:spacing w:before="40" w:after="200"/>
      <w:jc w:val="center"/>
    </w:pPr>
    <w:rPr>
      <w:i/>
      <w:color w:val="475569"/>
      <w:sz w:val="18"/>
    </w:rPr>
  </w:style>
  <w:style w:type="paragraph" w:customStyle="1" w:styleId="CodeBlock">
    <w:name w:val="Code Block"/>
    <w:basedOn w:val="Normal"/>
    <w:qFormat/>
    <w:pPr>
      <w:spacing w:after="0" w:before="0" w:line="240" w:lineRule="auto"/>
    </w:pPr>
    <w:rPr>
      <w:rFonts w:ascii="Liberation Mono" w:hAnsi="Liberation Mono" w:cs="Liberation Mono" w:eastAsia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7" Type="http://schemas.openxmlformats.org/officeDocument/2006/relationships/header" Target="header4.xml"/><Relationship Id="rId18" Type="http://schemas.openxmlformats.org/officeDocument/2006/relationships/header" Target="header5.xml"/><Relationship Id="rId19" Type="http://schemas.openxmlformats.org/officeDocument/2006/relationships/footer" Target="footer4.xml"/><Relationship Id="rId2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SHELFBOT O'Dea</cp:lastModifiedBy>
  <cp:revision>41</cp:revision>
  <dcterms:created xsi:type="dcterms:W3CDTF">2026-02-09T05:22:00Z</dcterms:created>
  <dcterms:modified xsi:type="dcterms:W3CDTF">2026-05-13T22:20:00Z</dcterms:modified>
  <dc:title>Shelfbot Time &amp; Materials Rate Card 2026</dc:title>
  <dc:subject>SB-SPEC-RATES · Version 3.1 · 15 July 2026</dc:subject>
  <dc:creator>Shelfbot</dc:creator>
</cp:coreProperties>
</file>