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>
      <w:pPr>
        <w:pStyle w:val="Title"/>
        <w:spacing w:after="80"/>
      </w:pPr>
      <w:r>
        <w:rPr>
          <w:color w:val="0F172A"/>
        </w:rPr>
        <w:t>Safety &amp; Compliance</w:t>
      </w:r>
    </w:p>
    <w:p>
      <w:pPr>
        <w:pBdr>
          <w:bottom w:val="single" w:sz="6" w:space="8" w:color="d9d9d9"/>
        </w:pBdr>
        <w:spacing w:after="280"/>
        <w:rPr>
          <w:sz w:val="8"/>
          <w:szCs w:val="8"/>
        </w:rPr>
      </w:pPr>
    </w:p>
    <w:p>
      <w:pPr>
        <w:spacing w:after="120"/>
      </w:pPr>
      <w:r>
        <w:t>Shelfbot is designed so operators interact with bins at a station — not moving machinery in an aisle. Guarding, interlocks, and predictable stop behaviour are part of the normal workflow.</w:t>
      </w:r>
    </w:p>
    <w:p>
      <w:pPr>
        <w:spacing w:after="120"/>
      </w:pPr>
      <w:r>
        <w:rPr>
          <w:b/>
        </w:rPr>
        <w:t>Key features:</w:t>
      </w:r>
    </w:p>
    <w:p>
      <w:pPr>
        <w:pStyle w:val="ListBullet"/>
        <w:numPr>
          <w:ilvl w:val="0"/>
          <w:numId w:val="5"/>
        </w:numPr>
      </w:pPr>
      <w:r>
        <w:t>Category 3, PL d safety architecture</w:t>
      </w:r>
    </w:p>
    <w:p>
      <w:pPr>
        <w:pStyle w:val="ListBullet"/>
        <w:numPr>
          <w:ilvl w:val="0"/>
          <w:numId w:val="5"/>
        </w:numPr>
      </w:pPr>
      <w:r>
        <w:t>Interlocked access + perimeter guards</w:t>
      </w:r>
    </w:p>
    <w:p>
      <w:pPr>
        <w:pStyle w:val="ListBullet"/>
        <w:numPr>
          <w:ilvl w:val="0"/>
          <w:numId w:val="5"/>
        </w:numPr>
        <w:spacing w:after="120"/>
      </w:pPr>
      <w:r>
        <w:t>Designed for daily operation</w:t>
      </w:r>
    </w:p>
    <w:p>
      <w:pPr>
        <w:pBdr>
          <w:bottom w:val="single" w:sz="4" w:space="1" w:color="d9d9d9"/>
        </w:pBdr>
        <w:spacing w:after="200" w:before="120"/>
        <w:rPr>
          <w:sz w:val="4"/>
          <w:szCs w:val="4"/>
        </w:rPr>
      </w:pPr>
    </w:p>
    <w:p>
      <w:pPr>
        <w:pStyle w:val="Heading2"/>
      </w:pPr>
      <w:r>
        <w:t>Design principles</w:t>
      </w:r>
    </w:p>
    <w:p>
      <w:pPr>
        <w:pStyle w:val="Heading3"/>
      </w:pPr>
      <w:r>
        <w:t>Operators interact with bins, not moving machinery</w:t>
      </w:r>
    </w:p>
    <w:p>
      <w:pPr>
        <w:spacing w:after="120"/>
      </w:pPr>
      <w:r>
        <w:t>Shelfbot's workflow is designed around fixed stations. People shouldn't be near the robot aisle during normal operation.</w:t>
      </w:r>
    </w:p>
    <w:p>
      <w:pPr>
        <w:pStyle w:val="Heading3"/>
      </w:pPr>
      <w:r>
        <w:t>Safety is built into every pick cycle</w:t>
      </w:r>
    </w:p>
    <w:p>
      <w:pPr>
        <w:spacing w:after="120"/>
      </w:pPr>
      <w:r>
        <w:t>Access to a presented bin is controlled by an interlocked hatch and a safeguarded stop that occurs every pick cycle.</w:t>
      </w:r>
    </w:p>
    <w:p>
      <w:pPr>
        <w:pStyle w:val="Heading3"/>
      </w:pPr>
      <w:r>
        <w:t>Clear constraints, explainable behaviour</w:t>
      </w:r>
    </w:p>
    <w:p>
      <w:pPr>
        <w:spacing w:after="120"/>
      </w:pPr>
      <w:r>
        <w:t>Shelfbot is designed to be conceptually transparent: predictable modes, clear limits, and diagnosable issues.</w:t>
      </w:r>
    </w:p>
    <w:p>
      <w:pPr>
        <w:pBdr>
          <w:bottom w:val="single" w:sz="4" w:space="1" w:color="d9d9d9"/>
        </w:pBdr>
        <w:spacing w:after="200" w:before="120"/>
        <w:rPr>
          <w:sz w:val="4"/>
          <w:szCs w:val="4"/>
        </w:rPr>
      </w:pPr>
    </w:p>
    <w:p>
      <w:pPr>
        <w:pStyle w:val="Heading2"/>
      </w:pPr>
      <w:r>
        <w:t>What happens in normal operation</w:t>
      </w:r>
    </w:p>
    <w:p>
      <w:pPr>
        <w:pStyle w:val="Heading3"/>
      </w:pPr>
      <w:r>
        <w:t>During a pick</w:t>
      </w:r>
    </w:p>
    <w:p>
      <w:pPr>
        <w:spacing w:after="120"/>
      </w:pPr>
      <w:r>
        <w:t>A bin is presented at the station. Opening the access hatch triggers a safeguarded stop. After picking, the hatch is closed and the operator presses RESET to safely return the bin.</w:t>
      </w:r>
    </w:p>
    <w:p>
      <w:pPr>
        <w:pStyle w:val="Heading3"/>
      </w:pPr>
      <w:r>
        <w:t>Emergency stop</w:t>
      </w:r>
    </w:p>
    <w:p>
      <w:pPr>
        <w:spacing w:after="120"/>
      </w:pPr>
      <w:r>
        <w:t>Emergency stop applies a Category 0 stop and motor brakes. It's intended for infrequent emergency use only and typically requires reporting and support involvement before restart.</w:t>
      </w:r>
    </w:p>
    <w:p>
      <w:pPr>
        <w:pStyle w:val="Heading3"/>
      </w:pPr>
      <w:r>
        <w:t>REST mode</w:t>
      </w:r>
    </w:p>
    <w:p>
      <w:pPr>
        <w:spacing w:after="120"/>
      </w:pPr>
      <w:r>
        <w:t>After inactivity, the system can enter REST mode, lowering the platform and disabling motors while maintaining safeguarding.</w:t>
      </w:r>
    </w:p>
    <w:p>
      <w:pPr>
        <w:pBdr>
          <w:left w:val="single" w:sz="12" w:space="8" w:color="d9d9d9"/>
        </w:pBdr>
        <w:spacing w:after="120"/>
        <w:ind w:left="340"/>
      </w:pPr>
      <w:r>
        <w:rPr>
          <w:b/>
          <w:color w:val="475569"/>
        </w:rPr>
        <w:t>Important:</w:t>
      </w:r>
      <w:r>
        <w:rPr>
          <w:color w:val="475569"/>
        </w:rPr>
        <w:t xml:space="preserve"> entering restricted areas after an emergency stop is not permitted without the proper safety process. Emergency stop is for emergencies, not a normal access method.</w:t>
      </w:r>
    </w:p>
    <w:p>
      <w:pPr>
        <w:pBdr>
          <w:bottom w:val="single" w:sz="4" w:space="1" w:color="d9d9d9"/>
        </w:pBdr>
        <w:spacing w:after="200" w:before="120"/>
        <w:rPr>
          <w:sz w:val="4"/>
          <w:szCs w:val="4"/>
        </w:rPr>
      </w:pPr>
    </w:p>
    <w:p>
      <w:pPr>
        <w:pStyle w:val="Heading2"/>
      </w:pPr>
      <w:r>
        <w:t>Safety systems and functions</w:t>
      </w:r>
    </w:p>
    <w:p>
      <w:pPr>
        <w:spacing w:after="120"/>
      </w:pPr>
      <w:r>
        <w:t>The Shelfbot safety control system includes a safety PLC, redundant contacts, interlocked doors/hatches, emergency stops, and a reset process designed to prevent unintentional restart.</w:t>
      </w:r>
    </w:p>
    <w:p>
      <w:pPr>
        <w:pStyle w:val="Heading3"/>
      </w:pPr>
      <w:r>
        <w:t>Perimeter guarding</w:t>
      </w:r>
    </w:p>
    <w:p>
      <w:pPr>
        <w:pStyle w:val="ListBullet"/>
        <w:numPr>
          <w:ilvl w:val="0"/>
          <w:numId w:val="5"/>
        </w:numPr>
      </w:pPr>
      <w:r>
        <w:t>Guards surround robot aisles to prevent unauthorised access to the restricted area.</w:t>
      </w:r>
    </w:p>
    <w:p>
      <w:pPr>
        <w:pStyle w:val="ListBullet"/>
        <w:numPr>
          <w:ilvl w:val="0"/>
          <w:numId w:val="5"/>
        </w:numPr>
        <w:spacing w:after="120"/>
      </w:pPr>
      <w:r>
        <w:t>Racking-side guards maintain safe distance from moving equipment.</w:t>
      </w:r>
    </w:p>
    <w:p>
      <w:pPr>
        <w:pStyle w:val="Heading3"/>
      </w:pPr>
      <w:r>
        <w:t>Interlocked access</w:t>
      </w:r>
    </w:p>
    <w:p>
      <w:pPr>
        <w:pStyle w:val="ListBullet"/>
        <w:numPr>
          <w:ilvl w:val="0"/>
          <w:numId w:val="5"/>
        </w:numPr>
      </w:pPr>
      <w:r>
        <w:t>Front door interlock remains locked during normal operation.</w:t>
      </w:r>
    </w:p>
    <w:p>
      <w:pPr>
        <w:pStyle w:val="ListBullet"/>
        <w:numPr>
          <w:ilvl w:val="0"/>
          <w:numId w:val="5"/>
        </w:numPr>
        <w:spacing w:after="120"/>
      </w:pPr>
      <w:r>
        <w:t>Access hatch interlock releases only when a bin is presented at the station.</w:t>
      </w:r>
    </w:p>
    <w:p>
      <w:pPr>
        <w:pStyle w:val="Heading3"/>
      </w:pPr>
      <w:r>
        <w:t>Emergency stop &amp; safeguarded stop</w:t>
      </w:r>
    </w:p>
    <w:p>
      <w:pPr>
        <w:pStyle w:val="ListBullet"/>
        <w:numPr>
          <w:ilvl w:val="0"/>
          <w:numId w:val="5"/>
        </w:numPr>
      </w:pPr>
      <w:r>
        <w:t>Emergency stop initiates a Category 0 stop and applies motor brakes.</w:t>
      </w:r>
    </w:p>
    <w:p>
      <w:pPr>
        <w:pStyle w:val="ListBullet"/>
        <w:numPr>
          <w:ilvl w:val="0"/>
          <w:numId w:val="5"/>
        </w:numPr>
        <w:spacing w:after="120"/>
      </w:pPr>
      <w:r>
        <w:t>Safeguarded stop occurs during each pick cycle when the access hatch is opened.</w:t>
      </w:r>
    </w:p>
    <w:p>
      <w:pPr>
        <w:pStyle w:val="Heading3"/>
      </w:pPr>
      <w:r>
        <w:t>Safety control system</w:t>
      </w:r>
    </w:p>
    <w:p>
      <w:pPr>
        <w:pStyle w:val="ListBullet"/>
        <w:numPr>
          <w:ilvl w:val="0"/>
          <w:numId w:val="5"/>
        </w:numPr>
      </w:pPr>
      <w:r>
        <w:t>Safety PLC with redundant contacts (Category 3, PL d architecture).</w:t>
      </w:r>
    </w:p>
    <w:p>
      <w:pPr>
        <w:pStyle w:val="ListBullet"/>
        <w:numPr>
          <w:ilvl w:val="0"/>
          <w:numId w:val="5"/>
        </w:numPr>
        <w:spacing w:after="120"/>
      </w:pPr>
      <w:r>
        <w:t>Reset button ensures intentional restart after hatch closure.</w:t>
      </w:r>
    </w:p>
    <w:p>
      <w:pPr>
        <w:pStyle w:val="Heading3"/>
      </w:pPr>
      <w:r>
        <w:t>Motor brakes &amp; safe state</w:t>
      </w:r>
    </w:p>
    <w:p>
      <w:pPr>
        <w:pStyle w:val="ListBullet"/>
        <w:numPr>
          <w:ilvl w:val="0"/>
          <w:numId w:val="5"/>
        </w:numPr>
      </w:pPr>
      <w:r>
        <w:t>Brakes apply automatically on emergency stop, power failure, and REST mode.</w:t>
      </w:r>
    </w:p>
    <w:p>
      <w:pPr>
        <w:pStyle w:val="ListBullet"/>
        <w:numPr>
          <w:ilvl w:val="0"/>
          <w:numId w:val="5"/>
        </w:numPr>
        <w:spacing w:after="120"/>
      </w:pPr>
      <w:r>
        <w:t>System modes include IDLE and REST to control safe behaviour when inactive.</w:t>
      </w:r>
    </w:p>
    <w:p>
      <w:pPr>
        <w:pStyle w:val="Heading3"/>
      </w:pPr>
      <w:r>
        <w:t>Signage &amp; inspections</w:t>
      </w:r>
    </w:p>
    <w:p>
      <w:pPr>
        <w:pStyle w:val="ListBullet"/>
        <w:numPr>
          <w:ilvl w:val="0"/>
          <w:numId w:val="5"/>
        </w:numPr>
      </w:pPr>
      <w:r>
        <w:t>SWL and safe work procedure signage near the system.</w:t>
      </w:r>
    </w:p>
    <w:p>
      <w:pPr>
        <w:pStyle w:val="ListBullet"/>
        <w:numPr>
          <w:ilvl w:val="0"/>
          <w:numId w:val="5"/>
        </w:numPr>
        <w:spacing w:after="120"/>
      </w:pPr>
      <w:r>
        <w:t>Monthly visual inspection checklist for racking and guarding.</w:t>
      </w:r>
    </w:p>
    <w:p>
      <w:pPr>
        <w:pBdr>
          <w:bottom w:val="single" w:sz="4" w:space="1" w:color="d9d9d9"/>
        </w:pBdr>
        <w:spacing w:after="200" w:before="120"/>
        <w:rPr>
          <w:sz w:val="4"/>
          <w:szCs w:val="4"/>
        </w:rPr>
      </w:pPr>
    </w:p>
    <w:p>
      <w:pPr>
        <w:pStyle w:val="Heading2"/>
      </w:pPr>
      <w:r>
        <w:t>Hazardous materials</w:t>
      </w:r>
    </w:p>
    <w:p>
      <w:pPr>
        <w:spacing w:after="120"/>
      </w:pPr>
      <w:r>
        <w:t xml:space="preserve">Shelfbot has not been assessed to be intrinsically safe for storage of hazardous materials. The following are </w:t>
      </w:r>
      <w:r>
        <w:rPr>
          <w:b/>
        </w:rPr>
        <w:t>not permitted</w:t>
      </w:r>
      <w:r>
        <w:t xml:space="preserve"> to be stored in the system:</w:t>
      </w:r>
    </w:p>
    <w:p>
      <w:pPr>
        <w:pStyle w:val="ListBullet"/>
        <w:numPr>
          <w:ilvl w:val="0"/>
          <w:numId w:val="5"/>
        </w:numPr>
      </w:pPr>
      <w:r>
        <w:t>Flammable liquids</w:t>
      </w:r>
    </w:p>
    <w:p>
      <w:pPr>
        <w:pStyle w:val="ListBullet"/>
        <w:numPr>
          <w:ilvl w:val="0"/>
          <w:numId w:val="5"/>
        </w:numPr>
      </w:pPr>
      <w:r>
        <w:t>Solvents</w:t>
      </w:r>
    </w:p>
    <w:p>
      <w:pPr>
        <w:pStyle w:val="ListBullet"/>
        <w:numPr>
          <w:ilvl w:val="0"/>
          <w:numId w:val="5"/>
        </w:numPr>
        <w:spacing w:after="120"/>
      </w:pPr>
      <w:r>
        <w:t>Hazardous chemicals</w:t>
      </w:r>
    </w:p>
    <w:p>
      <w:pPr>
        <w:spacing w:after="120"/>
      </w:pPr>
      <w:r>
        <w:t>If you have special storage requirements, raise them early so site risk assessment and fire engineering can be completed.</w:t>
      </w:r>
    </w:p>
    <w:p>
      <w:pPr>
        <w:pStyle w:val="Heading3"/>
      </w:pPr>
      <w:r>
        <w:t>Practical constraints that matter</w:t>
      </w:r>
    </w:p>
    <w:p>
      <w:pPr>
        <w:pStyle w:val="ListBullet"/>
        <w:numPr>
          <w:ilvl w:val="0"/>
          <w:numId w:val="5"/>
        </w:numPr>
      </w:pPr>
      <w:r>
        <w:t>Do not overfill bins above the top edge (prevents jams and dislodgement).</w:t>
      </w:r>
    </w:p>
    <w:p>
      <w:pPr>
        <w:pStyle w:val="ListBullet"/>
        <w:numPr>
          <w:ilvl w:val="0"/>
          <w:numId w:val="5"/>
        </w:numPr>
      </w:pPr>
      <w:r>
        <w:t>Do not exceed bin payload limits.</w:t>
      </w:r>
    </w:p>
    <w:p>
      <w:pPr>
        <w:pStyle w:val="ListBullet"/>
        <w:numPr>
          <w:ilvl w:val="0"/>
          <w:numId w:val="5"/>
        </w:numPr>
        <w:spacing w:after="120"/>
      </w:pPr>
      <w:r>
        <w:t>Maintain clearances and keep aisles free from loose objects.</w:t>
      </w:r>
    </w:p>
    <w:p>
      <w:pPr>
        <w:pBdr>
          <w:bottom w:val="single" w:sz="4" w:space="1" w:color="d9d9d9"/>
        </w:pBdr>
        <w:spacing w:after="200" w:before="120"/>
        <w:rPr>
          <w:sz w:val="4"/>
          <w:szCs w:val="4"/>
        </w:rPr>
      </w:pPr>
    </w:p>
    <w:p>
      <w:pPr>
        <w:pStyle w:val="Heading2"/>
      </w:pPr>
      <w:r>
        <w:t>Applied standards (overview)</w:t>
      </w:r>
    </w:p>
    <w:p>
      <w:pPr>
        <w:spacing w:after="120"/>
      </w:pPr>
      <w:r>
        <w:t>Shelfbot documentation references the standards below for safety, guarding, electrical, and racking context.</w:t>
      </w:r>
    </w:p>
    <w:p>
      <w:pPr>
        <w:pStyle w:val="Heading3"/>
      </w:pPr>
      <w:r>
        <w:t>Safety of machinery / guarding</w:t>
      </w:r>
    </w:p>
    <w:p>
      <w:pPr>
        <w:pStyle w:val="ListBullet"/>
        <w:numPr>
          <w:ilvl w:val="0"/>
          <w:numId w:val="5"/>
        </w:numPr>
      </w:pPr>
      <w:r>
        <w:t>AS/NZS 4024 (safety of machinery)</w:t>
      </w:r>
    </w:p>
    <w:p>
      <w:pPr>
        <w:pStyle w:val="ListBullet"/>
        <w:numPr>
          <w:ilvl w:val="0"/>
          <w:numId w:val="5"/>
        </w:numPr>
      </w:pPr>
      <w:r>
        <w:t>ISO 12100 (risk assessment principles)</w:t>
      </w:r>
    </w:p>
    <w:p>
      <w:pPr>
        <w:pStyle w:val="ListBullet"/>
        <w:numPr>
          <w:ilvl w:val="0"/>
          <w:numId w:val="5"/>
        </w:numPr>
      </w:pPr>
      <w:r>
        <w:t>ISO 13849 / ISO 13849-1 (safety-related control systems)</w:t>
      </w:r>
    </w:p>
    <w:p>
      <w:pPr>
        <w:pStyle w:val="ListBullet"/>
        <w:numPr>
          <w:ilvl w:val="0"/>
          <w:numId w:val="5"/>
        </w:numPr>
      </w:pPr>
      <w:r>
        <w:t>ISO 14120 (guards)</w:t>
      </w:r>
    </w:p>
    <w:p>
      <w:pPr>
        <w:pStyle w:val="ListBullet"/>
        <w:numPr>
          <w:ilvl w:val="0"/>
          <w:numId w:val="5"/>
        </w:numPr>
        <w:spacing w:after="120"/>
      </w:pPr>
      <w:r>
        <w:t>ISO 13857 / ISO 13855 / ISO 14119 / ISO 13854 (safety distances &amp; interlocking)</w:t>
      </w:r>
    </w:p>
    <w:p>
      <w:pPr>
        <w:pStyle w:val="Heading3"/>
      </w:pPr>
      <w:r>
        <w:t>Electrical</w:t>
      </w:r>
    </w:p>
    <w:p>
      <w:pPr>
        <w:pStyle w:val="ListBullet"/>
        <w:numPr>
          <w:ilvl w:val="0"/>
          <w:numId w:val="5"/>
        </w:numPr>
        <w:spacing w:after="120"/>
      </w:pPr>
      <w:r>
        <w:t>IEC 60204 / IEC 60204-1 (machine electrical safety)</w:t>
      </w:r>
    </w:p>
    <w:p>
      <w:pPr>
        <w:pStyle w:val="Heading3"/>
      </w:pPr>
      <w:r>
        <w:t>Racking &amp; installation context</w:t>
      </w:r>
    </w:p>
    <w:p>
      <w:pPr>
        <w:pStyle w:val="ListBullet"/>
        <w:numPr>
          <w:ilvl w:val="0"/>
          <w:numId w:val="5"/>
        </w:numPr>
      </w:pPr>
      <w:r>
        <w:t>AS4084:2023 (steel storage racking)</w:t>
      </w:r>
    </w:p>
    <w:p>
      <w:pPr>
        <w:pStyle w:val="ListBullet"/>
        <w:numPr>
          <w:ilvl w:val="0"/>
          <w:numId w:val="5"/>
        </w:numPr>
        <w:spacing w:after="120"/>
      </w:pPr>
      <w:r>
        <w:t>Additional reference codes listed in documentation (FEM, SEMA, RMI, etc.)</w:t>
      </w:r>
    </w:p>
    <w:p>
      <w:pPr>
        <w:spacing w:after="120"/>
      </w:pPr>
      <w:r>
        <w:rPr>
          <w:b/>
        </w:rPr>
        <w:t>Downloads:</w:t>
      </w:r>
    </w:p>
    <w:p>
      <w:pPr>
        <w:pStyle w:val="ListBullet"/>
        <w:numPr>
          <w:ilvl w:val="0"/>
          <w:numId w:val="5"/>
        </w:numPr>
      </w:pPr>
      <w:r>
        <w:rPr>
          <w:color w:val="2B6991"/>
          <w:u w:val="single"/>
        </w:rPr>
        <w:t>Safety risk assessment (PDF)</w:t>
      </w:r>
    </w:p>
    <w:p>
      <w:pPr>
        <w:pStyle w:val="ListBullet"/>
        <w:numPr>
          <w:ilvl w:val="0"/>
          <w:numId w:val="5"/>
        </w:numPr>
        <w:spacing w:after="120"/>
      </w:pPr>
      <w:hyperlink r:id="rId18">
        <w:r>
          <w:rPr>
            <w:color w:val="2B6991"/>
            <w:u w:val="single"/>
          </w:rPr>
          <w:t>Technical data sheet</w:t>
        </w:r>
      </w:hyperlink>
    </w:p>
    <w:p>
      <w:pPr>
        <w:pBdr>
          <w:bottom w:val="single" w:sz="4" w:space="1" w:color="d9d9d9"/>
        </w:pBdr>
        <w:spacing w:after="200" w:before="120"/>
        <w:rPr>
          <w:sz w:val="4"/>
          <w:szCs w:val="4"/>
        </w:rPr>
      </w:pPr>
    </w:p>
    <w:p>
      <w:pPr>
        <w:pStyle w:val="Heading2"/>
      </w:pPr>
      <w:r>
        <w:t>Customer and operator responsibilities</w:t>
      </w:r>
    </w:p>
    <w:p>
      <w:pPr>
        <w:pStyle w:val="Heading3"/>
      </w:pPr>
      <w:r>
        <w:t>What good operation looks like</w:t>
      </w:r>
    </w:p>
    <w:p>
      <w:pPr>
        <w:pStyle w:val="ListBullet"/>
        <w:numPr>
          <w:ilvl w:val="0"/>
          <w:numId w:val="5"/>
        </w:numPr>
      </w:pPr>
      <w:r>
        <w:t>Only trained and authorised personnel operate the system.</w:t>
      </w:r>
    </w:p>
    <w:p>
      <w:pPr>
        <w:pStyle w:val="ListBullet"/>
        <w:numPr>
          <w:ilvl w:val="0"/>
          <w:numId w:val="5"/>
        </w:numPr>
      </w:pPr>
      <w:r>
        <w:t>Do not bypass or tamper with guards or interlocks.</w:t>
      </w:r>
    </w:p>
    <w:p>
      <w:pPr>
        <w:pStyle w:val="ListBullet"/>
        <w:numPr>
          <w:ilvl w:val="0"/>
          <w:numId w:val="5"/>
        </w:numPr>
      </w:pPr>
      <w:r>
        <w:t>Do not use emergency stop as part of normal routine.</w:t>
      </w:r>
    </w:p>
    <w:p>
      <w:pPr>
        <w:pStyle w:val="ListBullet"/>
        <w:numPr>
          <w:ilvl w:val="0"/>
          <w:numId w:val="5"/>
        </w:numPr>
      </w:pPr>
      <w:r>
        <w:t>Never enter restricted areas after an emergency stop without the proper safety process.</w:t>
      </w:r>
    </w:p>
    <w:p>
      <w:pPr>
        <w:pStyle w:val="ListBullet"/>
        <w:numPr>
          <w:ilvl w:val="0"/>
          <w:numId w:val="5"/>
        </w:numPr>
      </w:pPr>
      <w:r>
        <w:t>Do not overfill bins above the top edge; do not exceed payload limits.</w:t>
      </w:r>
    </w:p>
    <w:p>
      <w:pPr>
        <w:pStyle w:val="ListBullet"/>
        <w:numPr>
          <w:ilvl w:val="0"/>
          <w:numId w:val="5"/>
        </w:numPr>
        <w:spacing w:after="120"/>
      </w:pPr>
      <w:r>
        <w:t>Undertake monthly visual inspections of racking, guarding, signage, and clearances.</w:t>
      </w:r>
    </w:p>
    <w:p>
      <w:pPr>
        <w:pStyle w:val="Heading3"/>
      </w:pPr>
      <w:r>
        <w:t>Ongoing inspections</w:t>
      </w:r>
    </w:p>
    <w:p>
      <w:pPr>
        <w:spacing w:after="120"/>
      </w:pPr>
      <w:r>
        <w:t>The customer is responsible for ongoing racking and guarding condition. A monthly visual inspection checklist is part of the normal operating expectation.</w:t>
      </w:r>
    </w:p>
    <w:p>
      <w:pPr>
        <w:pStyle w:val="ListBullet"/>
        <w:numPr>
          <w:ilvl w:val="0"/>
          <w:numId w:val="5"/>
        </w:numPr>
      </w:pPr>
      <w:r>
        <w:t>Check racking for impact damage, corrosion, and out-of-plumb uprights</w:t>
      </w:r>
    </w:p>
    <w:p>
      <w:pPr>
        <w:pStyle w:val="ListBullet"/>
        <w:numPr>
          <w:ilvl w:val="0"/>
          <w:numId w:val="5"/>
        </w:numPr>
      </w:pPr>
      <w:r>
        <w:t>Verify SWL signage and safe work procedure signage is present and legible</w:t>
      </w:r>
    </w:p>
    <w:p>
      <w:pPr>
        <w:pStyle w:val="ListBullet"/>
        <w:numPr>
          <w:ilvl w:val="0"/>
          <w:numId w:val="5"/>
        </w:numPr>
      </w:pPr>
      <w:r>
        <w:t>Confirm bins are stable, not protruding, and not overfilled</w:t>
      </w:r>
    </w:p>
    <w:p>
      <w:pPr>
        <w:pStyle w:val="ListBullet"/>
        <w:numPr>
          <w:ilvl w:val="0"/>
          <w:numId w:val="5"/>
        </w:numPr>
        <w:spacing w:after="120"/>
      </w:pPr>
      <w:r>
        <w:t>Confirm guards and panels are intact and locked</w:t>
      </w:r>
    </w:p>
    <w:p>
      <w:pPr>
        <w:spacing w:after="120"/>
      </w:pPr>
      <w:r>
        <w:t>For the full checklist and procedures, refer to the user manual.</w:t>
      </w:r>
    </w:p>
    <w:p>
      <w:pPr>
        <w:pBdr>
          <w:bottom w:val="single" w:sz="4" w:space="1" w:color="d9d9d9"/>
        </w:pBdr>
        <w:spacing w:after="200" w:before="120"/>
        <w:rPr>
          <w:sz w:val="4"/>
          <w:szCs w:val="4"/>
        </w:rPr>
      </w:pPr>
    </w:p>
    <w:p>
      <w:pPr>
        <w:pStyle w:val="Heading2"/>
      </w:pPr>
      <w:r>
        <w:t>Need this in a safety pack?</w:t>
      </w:r>
    </w:p>
    <w:p>
      <w:pPr>
        <w:spacing w:after="120"/>
      </w:pPr>
      <w:r>
        <w:t>We can provide a site-specific pack for your consultant/fire engineer/racking partner using the standard docs as a baseline.</w:t>
      </w:r>
    </w:p>
    <w:p>
      <w:pPr>
        <w:spacing w:after="120"/>
      </w:pPr>
      <w:hyperlink r:id="rId19">
        <w:r>
          <w:rPr>
            <w:color w:val="2B6991"/>
            <w:u w:val="single"/>
          </w:rPr>
          <w:t>Request a safety pack</w:t>
        </w:r>
      </w:hyperlink>
      <w:hyperlink r:id="rId20">
        <w:r>
          <w:t xml:space="preserve">• </w:t>
        </w:r>
      </w:hyperlink>
      <w:r>
        <w:rPr>
          <w:color w:val="2B6991"/>
          <w:u w:val="single"/>
        </w:rPr>
        <w:t>Product overview</w:t>
      </w:r>
      <w:r>
        <w:t xml:space="preserve"> • </w:t>
      </w:r>
      <w:hyperlink r:id="rId21">
        <w:r>
          <w:rPr>
            <w:color w:val="2B6991"/>
            <w:u w:val="single"/>
          </w:rPr>
          <w:t>Integration</w:t>
        </w:r>
      </w:hyperlink>
    </w:p>
    <w:sectPr w:rsidR="00116E53">
      <w:headerReference w:type="default" r:id="rId22"/>
      <w:headerReference w:type="first" r:id="rId23"/>
      <w:footerReference w:type="default" r:id="rId24"/>
      <w:footerReference w:type="first" r:id="rId25"/>
      <w:pgSz w:w="11906" w:h="16838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15540" w:rsidRDefault="00115540">
      <w:pPr>
        <w:spacing w:line="240" w:lineRule="auto"/>
      </w:pPr>
      <w:r>
        <w:separator/>
      </w:r>
    </w:p>
  </w:endnote>
  <w:endnote w:type="continuationSeparator" w:id="0">
    <w:p w:rsidR="00115540" w:rsidRDefault="001155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 Light">
    <w:panose1 w:val="02000403000000020004"/>
    <w:charset w:val="00"/>
    <w:family w:val="auto"/>
    <w:pitch w:val="variable"/>
    <w:sig w:usb0="A00002FF" w:usb1="5000205B" w:usb2="00000002" w:usb3="00000000" w:csb0="00000007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4" w:space="4" w:color="d9d9d9"/>
      </w:pBdr>
      <w:tabs>
        <w:tab w:pos="9026" w:val="right"/>
      </w:tabs>
      <w:spacing w:before="0" w:after="0"/>
    </w:pPr>
    <w:r>
      <w:rPr>
        <w:b/>
        <w:color w:val="0F172A"/>
        <w:sz w:val="18"/>
      </w:rPr>
      <w:t>shelfbot</w:t>
    </w:r>
    <w:r>
      <w:rPr>
        <w:color w:val="475569"/>
        <w:sz w:val="17"/>
      </w:rPr>
      <w:tab/>
      <w:t xml:space="preserve">Page </w:t>
    </w:r>
    <w:r>
      <w:rPr>
        <w:color w:val="475569"/>
        <w:sz w:val="17"/>
      </w:rPr>
      <w:fldChar w:fldCharType="begin"/>
    </w:r>
    <w:r>
      <w:rPr>
        <w:color w:val="475569"/>
        <w:sz w:val="17"/>
      </w:rPr>
      <w:instrText xml:space="preserve"> PAGE </w:instrText>
    </w:r>
    <w:r>
      <w:rPr>
        <w:color w:val="475569"/>
        <w:sz w:val="17"/>
      </w:rPr>
      <w:fldChar w:fldCharType="separate"/>
    </w:r>
    <w:r>
      <w:rPr>
        <w:color w:val="475569"/>
        <w:sz w:val="17"/>
      </w:rPr>
      <w:t>1</w:t>
    </w:r>
    <w:r>
      <w:rPr>
        <w:color w:val="475569"/>
        <w:sz w:val="17"/>
      </w:rPr>
      <w:fldChar w:fldCharType="end"/>
    </w:r>
    <w:r>
      <w:rPr>
        <w:color w:val="475569"/>
        <w:sz w:val="17"/>
      </w:rPr>
      <w:t xml:space="preserve"> of </w:t>
    </w:r>
    <w:r>
      <w:rPr>
        <w:color w:val="475569"/>
        <w:sz w:val="17"/>
      </w:rPr>
      <w:fldChar w:fldCharType="begin"/>
    </w:r>
    <w:r>
      <w:rPr>
        <w:color w:val="475569"/>
        <w:sz w:val="17"/>
      </w:rPr>
      <w:instrText xml:space="preserve"> NUMPAGES </w:instrText>
    </w:r>
    <w:r>
      <w:rPr>
        <w:color w:val="475569"/>
        <w:sz w:val="17"/>
      </w:rPr>
      <w:fldChar w:fldCharType="separate"/>
    </w:r>
    <w:r>
      <w:rPr>
        <w:color w:val="475569"/>
        <w:sz w:val="17"/>
      </w:rPr>
      <w:t>1</w:t>
    </w:r>
    <w:r>
      <w:rPr>
        <w:color w:val="475569"/>
        <w:sz w:val="17"/>
      </w:rPr>
      <w:fldChar w:fldCharType="end"/>
    </w:r>
  </w:p>
</w:ftr>
</file>

<file path=word/footer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4" w:space="4" w:color="d9d9d9"/>
      </w:pBdr>
      <w:tabs>
        <w:tab w:pos="9026" w:val="right"/>
      </w:tabs>
      <w:spacing w:before="0" w:after="0"/>
    </w:pPr>
    <w:r>
      <w:rPr>
        <w:b/>
        <w:color w:val="0F172A"/>
        <w:sz w:val="18"/>
      </w:rPr>
      <w:t>shelfbot</w:t>
    </w:r>
    <w:r>
      <w:rPr>
        <w:color w:val="475569"/>
        <w:sz w:val="17"/>
      </w:rPr>
      <w:tab/>
      <w:t xml:space="preserve">Page </w:t>
    </w:r>
    <w:r>
      <w:rPr>
        <w:color w:val="475569"/>
        <w:sz w:val="17"/>
      </w:rPr>
      <w:fldChar w:fldCharType="begin"/>
    </w:r>
    <w:r>
      <w:rPr>
        <w:color w:val="475569"/>
        <w:sz w:val="17"/>
      </w:rPr>
      <w:instrText xml:space="preserve"> PAGE </w:instrText>
    </w:r>
    <w:r>
      <w:rPr>
        <w:color w:val="475569"/>
        <w:sz w:val="17"/>
      </w:rPr>
      <w:fldChar w:fldCharType="separate"/>
    </w:r>
    <w:r>
      <w:rPr>
        <w:color w:val="475569"/>
        <w:sz w:val="17"/>
      </w:rPr>
      <w:t>1</w:t>
    </w:r>
    <w:r>
      <w:rPr>
        <w:color w:val="475569"/>
        <w:sz w:val="17"/>
      </w:rPr>
      <w:fldChar w:fldCharType="end"/>
    </w:r>
    <w:r>
      <w:rPr>
        <w:color w:val="475569"/>
        <w:sz w:val="17"/>
      </w:rPr>
      <w:t xml:space="preserve"> of </w:t>
    </w:r>
    <w:r>
      <w:rPr>
        <w:color w:val="475569"/>
        <w:sz w:val="17"/>
      </w:rPr>
      <w:fldChar w:fldCharType="begin"/>
    </w:r>
    <w:r>
      <w:rPr>
        <w:color w:val="475569"/>
        <w:sz w:val="17"/>
      </w:rPr>
      <w:instrText xml:space="preserve"> NUMPAGES </w:instrText>
    </w:r>
    <w:r>
      <w:rPr>
        <w:color w:val="475569"/>
        <w:sz w:val="17"/>
      </w:rPr>
      <w:fldChar w:fldCharType="separate"/>
    </w:r>
    <w:r>
      <w:rPr>
        <w:color w:val="475569"/>
        <w:sz w:val="17"/>
      </w:rPr>
      <w:t>1</w:t>
    </w:r>
    <w:r>
      <w:rPr>
        <w:color w:val="475569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15540" w:rsidRDefault="00115540">
      <w:pPr>
        <w:spacing w:line="240" w:lineRule="auto"/>
      </w:pPr>
      <w:r>
        <w:separator/>
      </w:r>
    </w:p>
  </w:footnote>
  <w:footnote w:type="continuationSeparator" w:id="0">
    <w:p w:rsidR="00115540" w:rsidRDefault="00115540">
      <w:pPr>
        <w:spacing w:line="240" w:lineRule="auto"/>
      </w:pPr>
      <w:r>
        <w:continuationSeparator/>
      </w:r>
    </w:p>
  </w:footnote>
</w:footnotes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bottom w:val="single" w:sz="4" w:space="4" w:color="d9d9d9"/>
      </w:pBdr>
      <w:tabs>
        <w:tab w:pos="9026" w:val="right"/>
      </w:tabs>
      <w:spacing w:after="0"/>
    </w:pPr>
    <w:r>
      <w:rPr>
        <w:color w:val="475569"/>
        <w:sz w:val="17"/>
      </w:rPr>
      <w:t>Safety &amp; Compliance</w:t>
    </w:r>
    <w:r>
      <w:rPr>
        <w:color w:val="475569"/>
        <w:sz w:val="17"/>
      </w:rPr>
      <w:tab/>
    </w:r>
  </w:p>
</w:hdr>
</file>

<file path=word/header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1795A"/>
    <w:multiLevelType w:val="multilevel"/>
    <w:tmpl w:val="A11E64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97837C8"/>
    <w:multiLevelType w:val="multilevel"/>
    <w:tmpl w:val="88385C0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D433F8B"/>
    <w:multiLevelType w:val="multilevel"/>
    <w:tmpl w:val="002AAEE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4C3429CD"/>
    <w:multiLevelType w:val="multilevel"/>
    <w:tmpl w:val="8E5CF71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–"/>
      <w:lvlJc w:val="left"/>
      <w:pPr>
        <w:ind w:left="1080" w:hanging="360"/>
      </w:pPr>
    </w:lvl>
    <w:lvl w:ilvl="2">
      <w:start w:val="1"/>
      <w:numFmt w:val="bullet"/>
      <w:lvlText w:val="▪"/>
      <w:lvlJc w:val="left"/>
      <w:pPr>
        <w:ind w:left="1440" w:hanging="360"/>
      </w:pPr>
    </w:lvl>
    <w:lvl w:ilvl="3">
      <w:start w:val="1"/>
      <w:numFmt w:val="bullet"/>
      <w:lvlText w:val="•"/>
      <w:lvlJc w:val="left"/>
      <w:pPr>
        <w:ind w:left="1800" w:hanging="360"/>
      </w:pPr>
    </w:lvl>
    <w:lvl w:ilvl="4">
      <w:start w:val="1"/>
      <w:numFmt w:val="bullet"/>
      <w:lvlText w:val="–"/>
      <w:lvlJc w:val="left"/>
      <w:pPr>
        <w:ind w:left="2160" w:hanging="360"/>
      </w:pPr>
    </w:lvl>
    <w:lvl w:ilvl="5">
      <w:start w:val="1"/>
      <w:numFmt w:val="bullet"/>
      <w:lvlText w:val="▪"/>
      <w:lvlJc w:val="left"/>
      <w:pPr>
        <w:ind w:left="2520" w:hanging="360"/>
      </w:pPr>
    </w:lvl>
    <w:lvl w:ilvl="6">
      <w:start w:val="1"/>
      <w:numFmt w:val="bullet"/>
      <w:lvlText w:val="•"/>
      <w:lvlJc w:val="left"/>
      <w:pPr>
        <w:ind w:left="2880" w:hanging="360"/>
      </w:pPr>
    </w:lvl>
    <w:lvl w:ilvl="7">
      <w:start w:val="1"/>
      <w:numFmt w:val="bullet"/>
      <w:lvlText w:val="–"/>
      <w:lvlJc w:val="left"/>
      <w:pPr>
        <w:ind w:left="3240" w:hanging="360"/>
      </w:pPr>
    </w:lvl>
    <w:lvl w:ilvl="8">
      <w:start w:val="1"/>
      <w:numFmt w:val="bullet"/>
      <w:lvlText w:val="▪"/>
      <w:lvlJc w:val="left"/>
      <w:pPr>
        <w:ind w:left="3600" w:hanging="360"/>
      </w:p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lowerLetter"/>
      <w:lvlText w:val="%5."/>
      <w:lvlJc w:val="left"/>
      <w:pPr>
        <w:ind w:left="2160" w:hanging="360"/>
      </w:pPr>
    </w:lvl>
    <w:lvl w:ilvl="5">
      <w:start w:val="1"/>
      <w:numFmt w:val="lowerRoman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num w:numId="1" w16cid:durableId="2002418222">
    <w:abstractNumId w:val="1"/>
  </w:num>
  <w:num w:numId="2" w16cid:durableId="360740353">
    <w:abstractNumId w:val="2"/>
  </w:num>
  <w:num w:numId="3" w16cid:durableId="1211117638">
    <w:abstractNumId w:val="3"/>
  </w:num>
  <w:num w:numId="4" w16cid:durableId="1900244098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9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10E"/>
    <w:rsid w:val="0000526E"/>
    <w:rsid w:val="00022A24"/>
    <w:rsid w:val="00046F8A"/>
    <w:rsid w:val="000D6C59"/>
    <w:rsid w:val="00115540"/>
    <w:rsid w:val="00116E53"/>
    <w:rsid w:val="00144EFC"/>
    <w:rsid w:val="00165FB6"/>
    <w:rsid w:val="0018212A"/>
    <w:rsid w:val="002163BC"/>
    <w:rsid w:val="002222C5"/>
    <w:rsid w:val="00291270"/>
    <w:rsid w:val="00304EEA"/>
    <w:rsid w:val="003379ED"/>
    <w:rsid w:val="0036710E"/>
    <w:rsid w:val="003A393C"/>
    <w:rsid w:val="003F63E2"/>
    <w:rsid w:val="00452FBD"/>
    <w:rsid w:val="00492CF5"/>
    <w:rsid w:val="004A34A0"/>
    <w:rsid w:val="00524BCF"/>
    <w:rsid w:val="0059042D"/>
    <w:rsid w:val="005A6606"/>
    <w:rsid w:val="005B20E0"/>
    <w:rsid w:val="00602F03"/>
    <w:rsid w:val="00675CF6"/>
    <w:rsid w:val="00675E19"/>
    <w:rsid w:val="006A2BF9"/>
    <w:rsid w:val="006B1C09"/>
    <w:rsid w:val="006D5918"/>
    <w:rsid w:val="00711B4F"/>
    <w:rsid w:val="007B42F2"/>
    <w:rsid w:val="007F32FA"/>
    <w:rsid w:val="008019CB"/>
    <w:rsid w:val="00805D4C"/>
    <w:rsid w:val="0084081E"/>
    <w:rsid w:val="00844A53"/>
    <w:rsid w:val="0085298B"/>
    <w:rsid w:val="00883A57"/>
    <w:rsid w:val="008A582D"/>
    <w:rsid w:val="008C73A7"/>
    <w:rsid w:val="008D4F0B"/>
    <w:rsid w:val="00901FA8"/>
    <w:rsid w:val="00913BBC"/>
    <w:rsid w:val="009E34AC"/>
    <w:rsid w:val="00AB01D3"/>
    <w:rsid w:val="00B636F4"/>
    <w:rsid w:val="00BF435F"/>
    <w:rsid w:val="00C44C08"/>
    <w:rsid w:val="00C5009F"/>
    <w:rsid w:val="00C8205A"/>
    <w:rsid w:val="00CD5523"/>
    <w:rsid w:val="00D02571"/>
    <w:rsid w:val="00D67B8F"/>
    <w:rsid w:val="00D73FF2"/>
    <w:rsid w:val="00D8444F"/>
    <w:rsid w:val="00D85A31"/>
    <w:rsid w:val="00DC339F"/>
    <w:rsid w:val="00DC7BA1"/>
    <w:rsid w:val="00DD03DC"/>
    <w:rsid w:val="00E00EEE"/>
    <w:rsid w:val="00E1714E"/>
    <w:rsid w:val="00E6783E"/>
    <w:rsid w:val="00F1757F"/>
    <w:rsid w:val="00F205AA"/>
    <w:rsid w:val="00F425E0"/>
    <w:rsid w:val="00F65815"/>
    <w:rsid w:val="00F92435"/>
    <w:rsid w:val="00FE1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903DFE"/>
  <w15:docId w15:val="{6E2F75C7-53BC-5342-96E4-88076DEC0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 Neue Light" w:eastAsia="Helvetica Neue Light" w:hAnsi="Helvetica Neue Light" w:cs="Helvetica Neue Light"/>
        <w:lang w:val="en-AU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8" w:space="6" w:color="999999"/>
      </w:pBdr>
      <w:spacing w:before="225" w:after="400" w:line="240" w:lineRule="auto"/>
      <w:outlineLvl w:val="0"/>
    </w:pPr>
    <w:rPr>
      <w:rFonts w:ascii="Helvetica Neue" w:eastAsia="Helvetica Neue" w:hAnsi="Helvetica Neue" w:cs="Helvetica Neue"/>
      <w:sz w:val="44"/>
      <w:szCs w:val="44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400" w:after="400" w:line="360" w:lineRule="auto"/>
      <w:outlineLvl w:val="1"/>
    </w:pPr>
    <w:rPr>
      <w:rFonts w:ascii="Helvetica Neue" w:eastAsia="Helvetica Neue" w:hAnsi="Helvetica Neue" w:cs="Helvetica Neue"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160" w:after="100"/>
      <w:outlineLvl w:val="2"/>
    </w:pPr>
    <w:rPr>
      <w:rFonts w:ascii="Helvetica Neue" w:eastAsia="Helvetica Neue" w:hAnsi="Helvetica Neue" w:cs="Helvetica Neue"/>
      <w:b/>
      <w:bCs/>
      <w:color w:val="2B6991"/>
      <w:sz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b/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b/>
      <w:i/>
      <w:iCs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paragraph" w:styleId="Footer">
    <w:name w:val="footer"/>
    <w:basedOn w:val="Normal"/>
    <w:link w:val="FooterChar"/>
    <w:uiPriority w:val="99"/>
    <w:unhideWhenUsed/>
    <w:rsid w:val="00046F8A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6F8A"/>
  </w:style>
  <w:style w:type="character" w:styleId="Hyperlink">
    <w:name w:val="Hyperlink"/>
    <w:basedOn w:val="DefaultParagraphFont"/>
    <w:uiPriority w:val="99"/>
    <w:unhideWhenUsed/>
    <w:rsid w:val="00524BC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4BC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F435F"/>
    <w:pPr>
      <w:ind w:left="720"/>
      <w:contextualSpacing/>
    </w:pPr>
  </w:style>
  <w:style w:type="paragraph" w:customStyle="1" w:styleId="ListBullet">
    <w:name w:val="List Bullet"/>
    <w:basedOn w:val="Normal"/>
    <w:qFormat/>
    <w:pPr>
      <w:spacing w:after="60"/>
      <w:contextualSpacing/>
    </w:pPr>
  </w:style>
  <w:style w:type="paragraph" w:customStyle="1" w:styleId="ListNumber">
    <w:name w:val="List Number"/>
    <w:basedOn w:val="Normal"/>
    <w:qFormat/>
    <w:pPr>
      <w:spacing w:after="60"/>
      <w:contextualSpacing/>
    </w:pPr>
  </w:style>
  <w:style w:type="paragraph" w:customStyle="1" w:styleId="Caption">
    <w:name w:val="caption"/>
    <w:basedOn w:val="Normal"/>
    <w:qFormat/>
    <w:pPr>
      <w:spacing w:before="40" w:after="200"/>
      <w:jc w:val="center"/>
    </w:pPr>
    <w:rPr>
      <w:i/>
      <w:color w:val="475569"/>
      <w:sz w:val="18"/>
    </w:rPr>
  </w:style>
  <w:style w:type="paragraph" w:customStyle="1" w:styleId="CodeBlock">
    <w:name w:val="Code Block"/>
    <w:basedOn w:val="Normal"/>
    <w:qFormat/>
    <w:pPr>
      <w:spacing w:after="0" w:before="0" w:line="240" w:lineRule="auto"/>
    </w:pPr>
    <w:rPr>
      <w:rFonts w:ascii="Liberation Mono" w:hAnsi="Liberation Mono" w:cs="Liberation Mono" w:eastAsia="Liberation Mono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4" Type="http://schemas.openxmlformats.org/officeDocument/2006/relationships/webSettings" Target="webSettings.xml"/><Relationship Id="rId18" Type="http://schemas.openxmlformats.org/officeDocument/2006/relationships/hyperlink" Target="https://shelfbot.com/docs/technical-data-sheet" TargetMode="External"/><Relationship Id="rId19" Type="http://schemas.openxmlformats.org/officeDocument/2006/relationships/hyperlink" Target="https://shelfbot.com/contact" TargetMode="External"/><Relationship Id="rId20" Type="http://schemas.openxmlformats.org/officeDocument/2006/relationships/hyperlink" Target="https://shelfbot.com/product" TargetMode="External"/><Relationship Id="rId21" Type="http://schemas.openxmlformats.org/officeDocument/2006/relationships/hyperlink" Target="https://shelfbot.com/docs/integration" TargetMode="External"/><Relationship Id="rId22" Type="http://schemas.openxmlformats.org/officeDocument/2006/relationships/header" Target="header4.xml"/><Relationship Id="rId23" Type="http://schemas.openxmlformats.org/officeDocument/2006/relationships/header" Target="header5.xml"/><Relationship Id="rId24" Type="http://schemas.openxmlformats.org/officeDocument/2006/relationships/footer" Target="footer4.xml"/><Relationship Id="rId25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13</Pages>
  <Words>1102</Words>
  <Characters>6285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Rob SHELFBOT O'Dea</cp:lastModifiedBy>
  <cp:revision>41</cp:revision>
  <dcterms:created xsi:type="dcterms:W3CDTF">2026-02-09T05:22:00Z</dcterms:created>
  <dcterms:modified xsi:type="dcterms:W3CDTF">2026-05-13T22:20:00Z</dcterms:modified>
  <dc:title>Safety &amp; Compliance</dc:title>
  <dc:subject/>
  <dc:creator>Shelfbot</dc:creator>
</cp:coreProperties>
</file>