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>
      <w:pPr>
        <w:pStyle w:val="Title"/>
        <w:spacing w:after="80"/>
      </w:pPr>
      <w:r>
        <w:rPr>
          <w:color w:val="0F172A"/>
        </w:rPr>
        <w:t>System Overview</w:t>
      </w:r>
    </w:p>
    <w:p>
      <w:pPr>
        <w:pBdr>
          <w:bottom w:val="single" w:sz="6" w:space="8" w:color="d9d9d9"/>
        </w:pBdr>
        <w:spacing w:after="280"/>
        <w:rPr>
          <w:sz w:val="8"/>
          <w:szCs w:val="8"/>
        </w:rPr>
      </w:pPr>
    </w:p>
    <w:p>
      <w:pPr>
        <w:spacing w:after="120"/>
      </w:pPr>
      <w:r>
        <w:t>Shelfbot is a Goods-to-Person warehouse automation system that uses autonomous robots to retrieve storage bins from standard racking and deliver them to operators at stations. The system retrofits into existing AS4084-compliant steel storage racking and integrates with your WMS via REST API.</w:t>
      </w:r>
    </w:p>
    <w:p>
      <w:pPr>
        <w:spacing w:after="120"/>
      </w:pPr>
      <w:r>
        <w:rPr>
          <w:b/>
        </w:rPr>
        <w:t>Key principle:</w:t>
      </w:r>
      <w:r>
        <w:t xml:space="preserve"> We built Shelfbot to be simple to understand, simple to operate, and simple to maintain—without sacrificing performance.</w:t>
      </w:r>
    </w:p>
    <w:p>
      <w:pPr>
        <w:pStyle w:val="Heading2"/>
      </w:pPr>
      <w:r>
        <w:t>What Shelfbot Is</w:t>
      </w:r>
    </w:p>
    <w:p>
      <w:pPr>
        <w:spacing w:after="120"/>
      </w:pPr>
      <w:r>
        <w:t>Shelfbot delivers the storage density and throughput of enterprise ASRS without the proprietary grids, 12-month implementations, or multi-million dollar commitments. It's designed for warehouses that need automation but can't afford the complexity or capital of traditional systems.</w:t>
      </w:r>
    </w:p>
    <w:p>
      <w:pPr>
        <w:spacing w:after="120"/>
      </w:pPr>
      <w:r>
        <w:rPr>
          <w:b/>
        </w:rPr>
        <w:t>Core capabilities:</w:t>
      </w:r>
    </w:p>
    <w:p>
      <w:pPr>
        <w:pStyle w:val="ListBullet"/>
        <w:numPr>
          <w:ilvl w:val="0"/>
          <w:numId w:val="5"/>
        </w:numPr>
      </w:pPr>
      <w:r>
        <w:t>Goods-to-Person picking (bins delivered to operators, not vice versa)</w:t>
      </w:r>
    </w:p>
    <w:p>
      <w:pPr>
        <w:pStyle w:val="ListBullet"/>
        <w:numPr>
          <w:ilvl w:val="0"/>
          <w:numId w:val="5"/>
        </w:numPr>
      </w:pPr>
      <w:r>
        <w:t>4× storage density improvement vs. manual operations</w:t>
      </w:r>
    </w:p>
    <w:p>
      <w:pPr>
        <w:pStyle w:val="ListBullet"/>
        <w:numPr>
          <w:ilvl w:val="0"/>
          <w:numId w:val="5"/>
        </w:numPr>
      </w:pPr>
      <w:r>
        <w:t>5× faster order picking vs. manual</w:t>
      </w:r>
    </w:p>
    <w:p>
      <w:pPr>
        <w:pStyle w:val="ListBullet"/>
        <w:numPr>
          <w:ilvl w:val="0"/>
          <w:numId w:val="5"/>
        </w:numPr>
      </w:pPr>
      <w:r>
        <w:t>4–8 week deployment (not 6–18 months)</w:t>
      </w:r>
    </w:p>
    <w:p>
      <w:pPr>
        <w:pStyle w:val="ListBullet"/>
        <w:numPr>
          <w:ilvl w:val="0"/>
          <w:numId w:val="5"/>
        </w:numPr>
        <w:spacing w:after="120"/>
      </w:pPr>
      <w:r>
        <w:t>Robots as a Service (RaaS) model from $10,000/month</w:t>
      </w:r>
    </w:p>
    <w:p>
      <w:pPr>
        <w:pStyle w:val="Heading2"/>
      </w:pPr>
      <w:r>
        <w:t>System Components</w:t>
      </w:r>
    </w:p>
    <w:p>
      <w:pPr>
        <w:pStyle w:val="Heading3"/>
      </w:pPr>
      <w:r>
        <w:t>1. Robots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Autonomous navigation</w:t>
      </w:r>
      <w:r>
        <w:t xml:space="preserve"> – Robots travel horizontally on rails and move vertically within racking aisles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No batteries</w:t>
      </w:r>
      <w:r>
        <w:t xml:space="preserve"> – Powered via 240V mains supply from outlets on the racking front frame (no downtime for charging)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Payload</w:t>
      </w:r>
      <w:r>
        <w:t xml:space="preserve"> – 20 kg max bin weight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Speed</w:t>
      </w:r>
      <w:r>
        <w:t xml:space="preserve"> – Up to 2,500 mm/s horizontal; vertical lift speeds optimized for safety and throughput</w:t>
      </w:r>
    </w:p>
    <w:p>
      <w:pPr>
        <w:pStyle w:val="ListBullet"/>
        <w:numPr>
          <w:ilvl w:val="0"/>
          <w:numId w:val="5"/>
        </w:numPr>
        <w:spacing w:after="120"/>
      </w:pPr>
      <w:r>
        <w:rPr>
          <w:b/>
        </w:rPr>
        <w:t>Per-robot throughput</w:t>
      </w:r>
      <w:r>
        <w:t xml:space="preserve"> – 60 bin presentations per hour</w:t>
      </w:r>
    </w:p>
    <w:p>
      <w:pPr>
        <w:pStyle w:val="Heading3"/>
      </w:pPr>
      <w:r>
        <w:t>2. Bins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Standard dimensions</w:t>
      </w:r>
      <w:r>
        <w:t xml:space="preserve"> – 820 × 420 × 285 mm (L × W × H)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Material</w:t>
      </w:r>
      <w:r>
        <w:t xml:space="preserve"> – Plastic bins (standard); steel fire-rated bins available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Items per bin</w:t>
      </w:r>
      <w:r>
        <w:t xml:space="preserve"> – Depends on SKU dimensions; typically 5–50 items depending on product size</w:t>
      </w:r>
    </w:p>
    <w:p>
      <w:pPr>
        <w:pStyle w:val="ListBullet"/>
        <w:numPr>
          <w:ilvl w:val="0"/>
          <w:numId w:val="5"/>
        </w:numPr>
        <w:spacing w:after="120"/>
      </w:pPr>
      <w:r>
        <w:rPr>
          <w:b/>
        </w:rPr>
        <w:t>Bins per level</w:t>
      </w:r>
      <w:r>
        <w:t xml:space="preserve"> – 5 bins per shelf level (typical configuration)</w:t>
      </w:r>
    </w:p>
    <w:p>
      <w:pPr>
        <w:pStyle w:val="Heading3"/>
      </w:pPr>
      <w:r>
        <w:t>3. Racking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Standard steel racking</w:t>
      </w:r>
      <w:r>
        <w:t xml:space="preserve"> – AS4084:2023 compliant storage racking (not proprietary grids)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Aisle width</w:t>
      </w:r>
      <w:r>
        <w:t xml:space="preserve"> – 1200 mm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Height range</w:t>
      </w:r>
      <w:r>
        <w:t xml:space="preserve"> – 4–10 m (up to ~21 levels at 10 m height)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Aisle length</w:t>
      </w:r>
      <w:r>
        <w:t xml:space="preserve"> – Up to 48 m (18 bays)</w:t>
      </w:r>
    </w:p>
    <w:p>
      <w:pPr>
        <w:pStyle w:val="ListBullet"/>
        <w:numPr>
          <w:ilvl w:val="0"/>
          <w:numId w:val="5"/>
        </w:numPr>
        <w:spacing w:after="120"/>
      </w:pPr>
      <w:r>
        <w:rPr>
          <w:b/>
        </w:rPr>
        <w:t>Key advantage</w:t>
      </w:r>
      <w:r>
        <w:t xml:space="preserve"> – Uses existing racking or standard racking suppliers; no proprietary infrastructure</w:t>
      </w:r>
    </w:p>
    <w:p>
      <w:pPr>
        <w:pStyle w:val="Heading3"/>
      </w:pPr>
      <w:r>
        <w:t>4. Stations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One per robot</w:t>
      </w:r>
      <w:r>
        <w:t xml:space="preserve"> – At the end of each robot aisle, where the robot presents bins for picking and putaway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Integrated weight verification</w:t>
      </w:r>
      <w:r>
        <w:t xml:space="preserve"> – Platform scales confirm pick accuracy and catch overweight items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Zones</w:t>
      </w:r>
      <w:r>
        <w:t xml:space="preserve"> – A block of three or four robot aisles is served by one operator with one put-to-light trolley; the operator moves between the zone's stations as bins arrive</w:t>
      </w:r>
    </w:p>
    <w:p>
      <w:pPr>
        <w:pStyle w:val="ListBullet"/>
        <w:numPr>
          <w:ilvl w:val="0"/>
          <w:numId w:val="5"/>
        </w:numPr>
        <w:spacing w:after="120"/>
      </w:pPr>
      <w:r>
        <w:rPr>
          <w:b/>
        </w:rPr>
        <w:t>Throughput per operator</w:t>
      </w:r>
      <w:r>
        <w:t xml:space="preserve"> – Up to 300 bin presentations per hour with batch picking</w:t>
      </w:r>
    </w:p>
    <w:p>
      <w:pPr>
        <w:pStyle w:val="Heading3"/>
      </w:pPr>
      <w:r>
        <w:t>5. Put-to-Light Trolley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Batch picking</w:t>
      </w:r>
      <w:r>
        <w:t xml:space="preserve"> – A 3 m put-to-light trolley behind the operator holds the zone's open orders, one shipper per position, so one presented bin serves several orders at once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Put to light</w:t>
      </w:r>
      <w:r>
        <w:t xml:space="preserve"> – The app shows the quantity to pick; one position lights at a time to show where to put it, eliminating picking errors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Scan to bind</w:t>
      </w:r>
      <w:r>
        <w:t xml:space="preserve"> – The runner scans each fresh shipper into a freed position; the system binds it to the next order and tracks completion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Batch optimization</w:t>
      </w:r>
      <w:r>
        <w:t xml:space="preserve"> – System optimizes order assignment and robot dispatch to keep all robots continuously working</w:t>
      </w:r>
    </w:p>
    <w:p>
      <w:pPr>
        <w:pStyle w:val="ListBullet"/>
        <w:numPr>
          <w:ilvl w:val="0"/>
          <w:numId w:val="5"/>
        </w:numPr>
        <w:spacing w:after="120"/>
      </w:pPr>
      <w:r>
        <w:rPr>
          <w:b/>
        </w:rPr>
        <w:t>Completed order swap</w:t>
      </w:r>
      <w:r>
        <w:t xml:space="preserve"> – When a position shows complete, the runner lifts the shipper onto the takeaway and places a fresh shipper of the size called; the operator keeps picking throughout</w:t>
      </w:r>
    </w:p>
    <w:p>
      <w:pPr>
        <w:pStyle w:val="Heading3"/>
      </w:pPr>
      <w:r>
        <w:t>6. Server &amp; Software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On-premises server</w:t>
      </w:r>
      <w:r>
        <w:t xml:space="preserve"> – Manages robot orchestration, bin locations, and WMS integration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REST API</w:t>
      </w:r>
      <w:r>
        <w:t xml:space="preserve"> – Secure API connects to your existing WMS, ERP, or e-commerce platform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Real-time inventory sync</w:t>
      </w:r>
      <w:r>
        <w:t xml:space="preserve"> – Product data, inventory levels, and order transactions synchronized via documented endpoints</w:t>
      </w:r>
    </w:p>
    <w:p>
      <w:pPr>
        <w:pStyle w:val="ListBullet"/>
        <w:numPr>
          <w:ilvl w:val="0"/>
          <w:numId w:val="5"/>
        </w:numPr>
        <w:spacing w:after="120"/>
      </w:pPr>
      <w:r>
        <w:rPr>
          <w:b/>
        </w:rPr>
        <w:t>Cloud redundancy</w:t>
      </w:r>
      <w:r>
        <w:t xml:space="preserve"> – System state backed up for disaster recovery</w:t>
      </w:r>
    </w:p>
    <w:p>
      <w:pPr>
        <w:pStyle w:val="Heading2"/>
      </w:pPr>
      <w:r>
        <w:t>How It Works</w:t>
      </w:r>
    </w:p>
    <w:p>
      <w:pPr>
        <w:pStyle w:val="Heading3"/>
      </w:pPr>
      <w:r>
        <w:t>1. Inventory Storage</w:t>
      </w:r>
    </w:p>
    <w:p>
      <w:pPr>
        <w:pStyle w:val="ListBullet"/>
        <w:numPr>
          <w:ilvl w:val="0"/>
          <w:numId w:val="5"/>
        </w:numPr>
      </w:pPr>
      <w:r>
        <w:t>Products are stored in bins on standard steel racking</w:t>
      </w:r>
    </w:p>
    <w:p>
      <w:pPr>
        <w:pStyle w:val="ListBullet"/>
        <w:numPr>
          <w:ilvl w:val="0"/>
          <w:numId w:val="5"/>
        </w:numPr>
      </w:pPr>
      <w:r>
        <w:t>Each bin is assigned a unique ID and tracked by the system</w:t>
      </w:r>
    </w:p>
    <w:p>
      <w:pPr>
        <w:pStyle w:val="ListBullet"/>
        <w:numPr>
          <w:ilvl w:val="0"/>
          <w:numId w:val="5"/>
        </w:numPr>
      </w:pPr>
      <w:r>
        <w:t>Multiple SKUs can share a bin, or SKUs can span multiple bins</w:t>
      </w:r>
    </w:p>
    <w:p>
      <w:pPr>
        <w:pStyle w:val="ListBullet"/>
        <w:numPr>
          <w:ilvl w:val="0"/>
          <w:numId w:val="5"/>
        </w:numPr>
        <w:spacing w:after="120"/>
      </w:pPr>
      <w:r>
        <w:t>Bins are stored at high density across multiple aisle levels</w:t>
      </w:r>
    </w:p>
    <w:p>
      <w:pPr>
        <w:pStyle w:val="Heading3"/>
      </w:pPr>
      <w:r>
        <w:t>2. Order Processing Flow</w:t>
      </w:r>
    </w:p>
    <w:p>
      <w:pPr>
        <w:pStyle w:val="ListNumber"/>
        <w:numPr>
          <w:ilvl w:val="0"/>
          <w:numId w:val="6"/>
        </w:numPr>
      </w:pPr>
      <w:r>
        <w:rPr>
          <w:b/>
        </w:rPr>
        <w:t>Orders received</w:t>
      </w:r>
      <w:r>
        <w:t xml:space="preserve"> – WMS sends orders to Shelfbot via API</w:t>
      </w:r>
    </w:p>
    <w:p>
      <w:pPr>
        <w:pStyle w:val="ListNumber"/>
        <w:numPr>
          <w:ilvl w:val="0"/>
          <w:numId w:val="6"/>
        </w:numPr>
      </w:pPr>
      <w:r>
        <w:rPr>
          <w:b/>
        </w:rPr>
        <w:t>Batch optimization</w:t>
      </w:r>
      <w:r>
        <w:t xml:space="preserve"> – System assigns orders to the open positions on each zone's trolley and optimizes robot dispatch</w:t>
      </w:r>
    </w:p>
    <w:p>
      <w:pPr>
        <w:pStyle w:val="ListNumber"/>
        <w:numPr>
          <w:ilvl w:val="0"/>
          <w:numId w:val="6"/>
        </w:numPr>
      </w:pPr>
      <w:r>
        <w:rPr>
          <w:b/>
        </w:rPr>
        <w:t>Shipper induction</w:t>
      </w:r>
      <w:r>
        <w:t xml:space="preserve"> – Runner places a fresh shipper of the size called in a freed position and scans it; the system binds it to the order</w:t>
      </w:r>
    </w:p>
    <w:p>
      <w:pPr>
        <w:pStyle w:val="ListNumber"/>
        <w:numPr>
          <w:ilvl w:val="0"/>
          <w:numId w:val="6"/>
        </w:numPr>
      </w:pPr>
      <w:r>
        <w:rPr>
          <w:b/>
        </w:rPr>
        <w:t>Station direction</w:t>
      </w:r>
      <w:r>
        <w:t xml:space="preserve"> – System directs operator to next ready station</w:t>
      </w:r>
    </w:p>
    <w:p>
      <w:pPr>
        <w:pStyle w:val="ListNumber"/>
        <w:numPr>
          <w:ilvl w:val="0"/>
          <w:numId w:val="6"/>
        </w:numPr>
      </w:pPr>
      <w:r>
        <w:rPr>
          <w:b/>
        </w:rPr>
        <w:t>Source bin delivery</w:t>
      </w:r>
      <w:r>
        <w:t xml:space="preserve"> – Robot delivers source bin containing required SKUs to station</w:t>
      </w:r>
    </w:p>
    <w:p>
      <w:pPr>
        <w:pStyle w:val="ListNumber"/>
        <w:numPr>
          <w:ilvl w:val="0"/>
          <w:numId w:val="6"/>
        </w:numPr>
      </w:pPr>
      <w:r>
        <w:rPr>
          <w:b/>
        </w:rPr>
        <w:t>Sequential putting</w:t>
      </w:r>
      <w:r>
        <w:t xml:space="preserve"> – Put-to-light lights one shipper position at a time with the quantity needed</w:t>
      </w:r>
    </w:p>
    <w:p>
      <w:pPr>
        <w:pStyle w:val="ListNumber"/>
        <w:numPr>
          <w:ilvl w:val="0"/>
          <w:numId w:val="6"/>
        </w:numPr>
      </w:pPr>
      <w:r>
        <w:rPr>
          <w:b/>
        </w:rPr>
        <w:t>Pick confirmation</w:t>
      </w:r>
      <w:r>
        <w:t xml:space="preserve"> – Operator scans the item and places it in the lit shipper position; weight verification confirms accuracy</w:t>
      </w:r>
    </w:p>
    <w:p>
      <w:pPr>
        <w:pStyle w:val="ListNumber"/>
        <w:numPr>
          <w:ilvl w:val="0"/>
          <w:numId w:val="6"/>
        </w:numPr>
      </w:pPr>
      <w:r>
        <w:rPr>
          <w:b/>
        </w:rPr>
        <w:t>Source bin return</w:t>
      </w:r>
      <w:r>
        <w:t xml:space="preserve"> – Operator initiates robot return when source bin complete</w:t>
      </w:r>
    </w:p>
    <w:p>
      <w:pPr>
        <w:pStyle w:val="ListNumber"/>
        <w:numPr>
          <w:ilvl w:val="0"/>
          <w:numId w:val="6"/>
        </w:numPr>
      </w:pPr>
      <w:r>
        <w:rPr>
          <w:b/>
        </w:rPr>
        <w:t>Order completion</w:t>
      </w:r>
      <w:r>
        <w:t xml:space="preserve"> – When the order is fully picked the position lights complete; the runner swaps the shipper onto the takeaway for packing and dispatch</w:t>
      </w:r>
    </w:p>
    <w:p>
      <w:pPr>
        <w:pStyle w:val="ListNumber"/>
        <w:numPr>
          <w:ilvl w:val="0"/>
          <w:numId w:val="6"/>
        </w:numPr>
        <w:spacing w:after="120"/>
      </w:pPr>
      <w:r>
        <w:rPr>
          <w:b/>
        </w:rPr>
        <w:t>Inventory update</w:t>
      </w:r>
      <w:r>
        <w:t xml:space="preserve"> – System updates inventory levels and notifies WMS</w:t>
      </w:r>
    </w:p>
    <w:p>
      <w:pPr>
        <w:pStyle w:val="Heading3"/>
      </w:pPr>
      <w:r>
        <w:t>3. Putaway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Manual putaway</w:t>
      </w:r>
      <w:r>
        <w:t xml:space="preserve"> – Operator scans items into bins at the station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Auto empty-bin flow</w:t>
      </w:r>
      <w:r>
        <w:t xml:space="preserve"> – System detects empty bins and routes them for putaway</w:t>
      </w:r>
    </w:p>
    <w:p>
      <w:pPr>
        <w:pStyle w:val="ListBullet"/>
        <w:numPr>
          <w:ilvl w:val="0"/>
          <w:numId w:val="5"/>
        </w:numPr>
        <w:spacing w:after="120"/>
      </w:pPr>
      <w:r>
        <w:rPr>
          <w:b/>
        </w:rPr>
        <w:t>FIFO support</w:t>
      </w:r>
      <w:r>
        <w:t xml:space="preserve"> – System can prioritize older inventory for picking (first-in, first-out)</w:t>
      </w:r>
    </w:p>
    <w:p>
      <w:pPr>
        <w:pStyle w:val="Heading3"/>
      </w:pPr>
      <w:r>
        <w:t>4. Scaling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Add robots</w:t>
      </w:r>
      <w:r>
        <w:t xml:space="preserve"> – Increase throughput by adding more robots to existing aisles (the put-to-light trolley keeps all robots continuously working)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Add aisles</w:t>
      </w:r>
      <w:r>
        <w:t xml:space="preserve"> – Expand storage capacity by adding more racking aisles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Add operators</w:t>
      </w:r>
      <w:r>
        <w:t xml:space="preserve"> – Each operator with a put-to-light trolley can handle up to 300 bin presentations per hour</w:t>
      </w:r>
    </w:p>
    <w:p>
      <w:pPr>
        <w:pStyle w:val="ListBullet"/>
        <w:numPr>
          <w:ilvl w:val="0"/>
          <w:numId w:val="5"/>
        </w:numPr>
        <w:spacing w:after="120"/>
      </w:pPr>
      <w:r>
        <w:rPr>
          <w:b/>
        </w:rPr>
        <w:t>No system redesign required</w:t>
      </w:r>
      <w:r>
        <w:t xml:space="preserve"> – Scale incrementally without rebuilding infrastructure</w:t>
      </w:r>
    </w:p>
    <w:p>
      <w:pPr>
        <w:pStyle w:val="Heading2"/>
      </w:pPr>
      <w:r>
        <w:t>Who These Docs Are For</w:t>
      </w:r>
    </w:p>
    <w:p>
      <w:pPr>
        <w:pStyle w:val="Heading3"/>
      </w:pPr>
      <w:r>
        <w:t>Operations Managers</w:t>
      </w:r>
    </w:p>
    <w:p>
      <w:pPr>
        <w:pStyle w:val="ListBullet"/>
        <w:numPr>
          <w:ilvl w:val="0"/>
          <w:numId w:val="5"/>
        </w:numPr>
      </w:pPr>
      <w:r>
        <w:t>Evaluating whether Shelfbot fits your operation</w:t>
      </w:r>
    </w:p>
    <w:p>
      <w:pPr>
        <w:pStyle w:val="ListBullet"/>
        <w:numPr>
          <w:ilvl w:val="0"/>
          <w:numId w:val="5"/>
        </w:numPr>
      </w:pPr>
      <w:r>
        <w:t>Understanding throughput, storage density, and ROI</w:t>
      </w:r>
    </w:p>
    <w:p>
      <w:pPr>
        <w:pStyle w:val="ListBullet"/>
        <w:numPr>
          <w:ilvl w:val="0"/>
          <w:numId w:val="5"/>
        </w:numPr>
        <w:spacing w:after="120"/>
      </w:pPr>
      <w:r>
        <w:t>Planning deployment timelines and operational changes</w:t>
      </w:r>
    </w:p>
    <w:p>
      <w:pPr>
        <w:pStyle w:val="Heading3"/>
      </w:pPr>
      <w:r>
        <w:t>Engineers &amp; Technical Teams</w:t>
      </w:r>
    </w:p>
    <w:p>
      <w:pPr>
        <w:pStyle w:val="ListBullet"/>
        <w:numPr>
          <w:ilvl w:val="0"/>
          <w:numId w:val="5"/>
        </w:numPr>
      </w:pPr>
      <w:r>
        <w:t>Designing installations and integration points</w:t>
      </w:r>
    </w:p>
    <w:p>
      <w:pPr>
        <w:pStyle w:val="ListBullet"/>
        <w:numPr>
          <w:ilvl w:val="0"/>
          <w:numId w:val="5"/>
        </w:numPr>
      </w:pPr>
      <w:r>
        <w:t>Reviewing electrical, racking, and environmental requirements</w:t>
      </w:r>
    </w:p>
    <w:p>
      <w:pPr>
        <w:pStyle w:val="ListBullet"/>
        <w:numPr>
          <w:ilvl w:val="0"/>
          <w:numId w:val="5"/>
        </w:numPr>
        <w:spacing w:after="120"/>
      </w:pPr>
      <w:r>
        <w:t>Understanding API integration and data exchange</w:t>
      </w:r>
    </w:p>
    <w:p>
      <w:pPr>
        <w:pStyle w:val="Heading3"/>
      </w:pPr>
      <w:r>
        <w:t>Electricians &amp; Fire Consultants</w:t>
      </w:r>
    </w:p>
    <w:p>
      <w:pPr>
        <w:pStyle w:val="ListBullet"/>
        <w:numPr>
          <w:ilvl w:val="0"/>
          <w:numId w:val="5"/>
        </w:numPr>
      </w:pPr>
      <w:r>
        <w:t>Planning electrical supply and circuit protection</w:t>
      </w:r>
    </w:p>
    <w:p>
      <w:pPr>
        <w:pStyle w:val="ListBullet"/>
        <w:numPr>
          <w:ilvl w:val="0"/>
          <w:numId w:val="5"/>
        </w:numPr>
      </w:pPr>
      <w:r>
        <w:t>Reviewing fire safety compliance and sprinkler requirements</w:t>
      </w:r>
    </w:p>
    <w:p>
      <w:pPr>
        <w:pStyle w:val="ListBullet"/>
        <w:numPr>
          <w:ilvl w:val="0"/>
          <w:numId w:val="5"/>
        </w:numPr>
        <w:spacing w:after="120"/>
      </w:pPr>
      <w:r>
        <w:t>Understanding safety interlocks and guarding</w:t>
      </w:r>
    </w:p>
    <w:p>
      <w:pPr>
        <w:pStyle w:val="Heading3"/>
      </w:pPr>
      <w:r>
        <w:t>Procurement &amp; Finance Teams</w:t>
      </w:r>
    </w:p>
    <w:p>
      <w:pPr>
        <w:pStyle w:val="ListBullet"/>
        <w:numPr>
          <w:ilvl w:val="0"/>
          <w:numId w:val="5"/>
        </w:numPr>
      </w:pPr>
      <w:r>
        <w:t>Understanding capital vs. operational costs (RaaS model)</w:t>
      </w:r>
    </w:p>
    <w:p>
      <w:pPr>
        <w:pStyle w:val="ListBullet"/>
        <w:numPr>
          <w:ilvl w:val="0"/>
          <w:numId w:val="5"/>
        </w:numPr>
      </w:pPr>
      <w:r>
        <w:t>Reviewing commercial terms and service agreements</w:t>
      </w:r>
    </w:p>
    <w:p>
      <w:pPr>
        <w:pStyle w:val="ListBullet"/>
        <w:numPr>
          <w:ilvl w:val="0"/>
          <w:numId w:val="5"/>
        </w:numPr>
        <w:spacing w:after="120"/>
      </w:pPr>
      <w:r>
        <w:t>Planning budget allocation and payback timelines</w:t>
      </w:r>
    </w:p>
    <w:p>
      <w:pPr>
        <w:pStyle w:val="Heading2"/>
      </w:pPr>
      <w:r>
        <w:t>Documentation Structure</w:t>
      </w:r>
    </w:p>
    <w:p>
      <w:pPr>
        <w:spacing w:after="120"/>
      </w:pPr>
      <w:hyperlink r:id="rId17">
        <w:r>
          <w:t>This page and its companions (</w:t>
        </w:r>
        <w:r>
          <w:rPr>
            <w:color w:val="2B6991"/>
            <w:u w:val="single"/>
          </w:rPr>
          <w:t>Technical Data Sheet</w:t>
        </w:r>
      </w:hyperlink>
      <w:hyperlink r:id="rId18">
        <w:r>
          <w:t xml:space="preserve">, </w:t>
        </w:r>
      </w:hyperlink>
      <w:r>
        <w:rPr>
          <w:color w:val="2B6991"/>
          <w:u w:val="single"/>
        </w:rPr>
        <w:t>Safety &amp; Compliance</w:t>
      </w:r>
      <w:r>
        <w:t xml:space="preserve">, </w:t>
      </w:r>
      <w:hyperlink r:id="rId19">
        <w:r>
          <w:rPr>
            <w:color w:val="2B6991"/>
            <w:u w:val="single"/>
          </w:rPr>
          <w:t>Integration</w:t>
        </w:r>
      </w:hyperlink>
      <w:r>
        <w:t xml:space="preserve">, </w:t>
      </w:r>
      <w:r>
        <w:rPr>
          <w:color w:val="2B6991"/>
          <w:u w:val="single"/>
        </w:rPr>
        <w:t>Example Configurations</w:t>
      </w:r>
      <w:hyperlink r:id="rId21">
        <w:r>
          <w:t xml:space="preserve">) are conceptual introductions. The engineering source of truth is the </w:t>
        </w:r>
      </w:hyperlink>
      <w:r>
        <w:rPr>
          <w:b/>
          <w:color w:val="2B6991"/>
          <w:u w:val="single"/>
        </w:rPr>
        <w:t>published documentation</w:t>
      </w:r>
      <w:r>
        <w:t xml:space="preserve"> - the racking, electrical, data dive and other specifications - which is versioned and always current. Where a number here and a number in a published specification disagree, the specification wins.</w:t>
      </w:r>
    </w:p>
    <w:p>
      <w:pPr>
        <w:pStyle w:val="Heading2"/>
      </w:pPr>
      <w:r>
        <w:t>What's Not Covered Here</w:t>
      </w:r>
    </w:p>
    <w:p>
      <w:pPr>
        <w:spacing w:after="120"/>
      </w:pPr>
      <w:r>
        <w:t xml:space="preserve">These docs are </w:t>
      </w:r>
      <w:r>
        <w:rPr>
          <w:b/>
        </w:rPr>
        <w:t>not</w:t>
      </w:r>
      <w:r>
        <w:t xml:space="preserve"> operational manuals. For day-to-day operation, training, and troubleshooting: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User Manual</w:t>
      </w:r>
      <w:r>
        <w:t xml:space="preserve"> – Operator workflows, pick/putaway procedures, and troubleshooting</w:t>
      </w:r>
    </w:p>
    <w:p>
      <w:pPr>
        <w:pStyle w:val="ListBullet"/>
        <w:numPr>
          <w:ilvl w:val="0"/>
          <w:numId w:val="5"/>
        </w:numPr>
      </w:pPr>
      <w:r>
        <w:rPr>
          <w:b/>
        </w:rPr>
        <w:t>Commissioning Manual</w:t>
      </w:r>
      <w:r>
        <w:t xml:space="preserve"> – Installation and commissioning procedures (provided to installers)</w:t>
      </w:r>
    </w:p>
    <w:p>
      <w:pPr>
        <w:pStyle w:val="ListBullet"/>
        <w:numPr>
          <w:ilvl w:val="0"/>
          <w:numId w:val="5"/>
        </w:numPr>
        <w:spacing w:after="120"/>
      </w:pPr>
      <w:r>
        <w:rPr>
          <w:b/>
        </w:rPr>
        <w:t>API Documentation</w:t>
      </w:r>
      <w:r>
        <w:t xml:space="preserve"> – Endpoint specifications, authentication, and integration guide</w:t>
      </w:r>
    </w:p>
    <w:p>
      <w:pPr>
        <w:pStyle w:val="Heading2"/>
      </w:pPr>
      <w:r>
        <w:t>Next Steps</w:t>
      </w:r>
    </w:p>
    <w:p>
      <w:pPr>
        <w:spacing w:after="120"/>
      </w:pPr>
      <w:r>
        <w:rPr>
          <w:b/>
        </w:rPr>
        <w:t>If you're evaluating Shelfbot:</w:t>
      </w:r>
    </w:p>
    <w:p>
      <w:pPr>
        <w:pStyle w:val="ListBullet"/>
        <w:numPr>
          <w:ilvl w:val="0"/>
          <w:numId w:val="5"/>
        </w:numPr>
      </w:pPr>
      <w:hyperlink r:id="rId17">
        <w:r>
          <w:t xml:space="preserve">Read </w:t>
        </w:r>
        <w:r>
          <w:rPr>
            <w:color w:val="2B6991"/>
            <w:u w:val="single"/>
          </w:rPr>
          <w:t>Technical Data Sheet</w:t>
        </w:r>
      </w:hyperlink>
      <w:r>
        <w:t>to understand planning ranges</w:t>
      </w:r>
    </w:p>
    <w:p>
      <w:pPr>
        <w:pStyle w:val="ListBullet"/>
        <w:numPr>
          <w:ilvl w:val="0"/>
          <w:numId w:val="5"/>
        </w:numPr>
      </w:pPr>
      <w:hyperlink r:id="rId22">
        <w:r>
          <w:t>Send us your SKU master + order history for a custom sizing (</w:t>
        </w:r>
        <w:r>
          <w:rPr>
            <w:color w:val="2B6991"/>
            <w:u w:val="single"/>
          </w:rPr>
          <w:t>contact us</w:t>
        </w:r>
      </w:hyperlink>
      <w:r>
        <w:t>)</w:t>
      </w:r>
    </w:p>
    <w:p>
      <w:pPr>
        <w:pStyle w:val="ListBullet"/>
        <w:numPr>
          <w:ilvl w:val="0"/>
          <w:numId w:val="5"/>
        </w:numPr>
        <w:spacing w:after="120"/>
      </w:pPr>
      <w:r>
        <w:t>Book a site check to verify racking, electrical, and access requirements</w:t>
      </w:r>
    </w:p>
    <w:p>
      <w:pPr>
        <w:spacing w:after="120"/>
      </w:pPr>
      <w:r>
        <w:rPr>
          <w:b/>
        </w:rPr>
        <w:t>If you're planning an installation:</w:t>
      </w:r>
    </w:p>
    <w:p>
      <w:pPr>
        <w:pStyle w:val="ListBullet"/>
        <w:numPr>
          <w:ilvl w:val="0"/>
          <w:numId w:val="5"/>
        </w:numPr>
      </w:pPr>
      <w:hyperlink r:id="rId23">
        <w:r>
          <w:t xml:space="preserve">Review </w:t>
        </w:r>
        <w:r>
          <w:rPr>
            <w:color w:val="2B6991"/>
            <w:u w:val="single"/>
          </w:rPr>
          <w:t>Racking Specification</w:t>
        </w:r>
      </w:hyperlink>
      <w:hyperlink r:id="rId24">
        <w:r>
          <w:t xml:space="preserve">and </w:t>
        </w:r>
      </w:hyperlink>
      <w:r>
        <w:rPr>
          <w:color w:val="2B6991"/>
          <w:u w:val="single"/>
        </w:rPr>
        <w:t>Electrical Specification</w:t>
      </w:r>
    </w:p>
    <w:p>
      <w:pPr>
        <w:pStyle w:val="ListBullet"/>
        <w:numPr>
          <w:ilvl w:val="0"/>
          <w:numId w:val="5"/>
        </w:numPr>
      </w:pPr>
      <w:r>
        <w:t>Share site plans with us for validation</w:t>
      </w:r>
    </w:p>
    <w:p>
      <w:pPr>
        <w:pStyle w:val="ListBullet"/>
        <w:numPr>
          <w:ilvl w:val="0"/>
          <w:numId w:val="5"/>
        </w:numPr>
        <w:spacing w:after="120"/>
      </w:pPr>
      <w:r>
        <w:t>Engage a fire consultant for sprinkler and compliance review</w:t>
      </w:r>
    </w:p>
    <w:p>
      <w:pPr>
        <w:spacing w:after="120"/>
      </w:pPr>
      <w:r>
        <w:rPr>
          <w:b/>
        </w:rPr>
        <w:t>If you're integrating with your WMS:</w:t>
      </w:r>
    </w:p>
    <w:p>
      <w:pPr>
        <w:pStyle w:val="ListBullet"/>
        <w:numPr>
          <w:ilvl w:val="0"/>
          <w:numId w:val="5"/>
        </w:numPr>
      </w:pPr>
      <w:hyperlink r:id="rId19">
        <w:r>
          <w:t xml:space="preserve">Review </w:t>
        </w:r>
        <w:r>
          <w:rPr>
            <w:color w:val="2B6991"/>
            <w:u w:val="single"/>
          </w:rPr>
          <w:t>Integration</w:t>
        </w:r>
      </w:hyperlink>
      <w:r>
        <w:t>for API requirements</w:t>
      </w:r>
    </w:p>
    <w:p>
      <w:pPr>
        <w:pStyle w:val="ListBullet"/>
        <w:numPr>
          <w:ilvl w:val="0"/>
          <w:numId w:val="5"/>
        </w:numPr>
      </w:pPr>
      <w:r>
        <w:t>Confirm your WMS has documented APIs for products, inventory, and orders</w:t>
      </w:r>
    </w:p>
    <w:p>
      <w:pPr>
        <w:pStyle w:val="ListBullet"/>
        <w:numPr>
          <w:ilvl w:val="0"/>
          <w:numId w:val="5"/>
        </w:numPr>
        <w:spacing w:after="120"/>
      </w:pPr>
      <w:r>
        <w:t>Schedule a technical integration workshop with our team</w:t>
      </w:r>
    </w:p>
    <w:p>
      <w:pPr>
        <w:pBdr>
          <w:bottom w:val="single" w:sz="4" w:space="1" w:color="d9d9d9"/>
        </w:pBdr>
        <w:spacing w:after="200" w:before="120"/>
        <w:rPr>
          <w:sz w:val="4"/>
          <w:szCs w:val="4"/>
        </w:rPr>
      </w:pPr>
    </w:p>
    <w:p>
      <w:pPr>
        <w:spacing w:after="120"/>
      </w:pPr>
      <w:hyperlink r:id="rId17">
        <w:r>
          <w:rPr>
            <w:color w:val="2B6991"/>
            <w:u w:val="single"/>
          </w:rPr>
          <w:t>Specs &amp; site requirements →</w:t>
        </w:r>
      </w:hyperlink>
      <w:hyperlink r:id="rId22">
        <w:r>
          <w:t xml:space="preserve">| </w:t>
        </w:r>
      </w:hyperlink>
      <w:r>
        <w:rPr>
          <w:color w:val="2B6991"/>
          <w:u w:val="single"/>
        </w:rPr>
        <w:t>Get a site check</w:t>
      </w:r>
      <w:r>
        <w:t xml:space="preserve"> | </w:t>
      </w:r>
      <w:hyperlink r:id="rId19">
        <w:r>
          <w:rPr>
            <w:color w:val="2B6991"/>
            <w:u w:val="single"/>
          </w:rPr>
          <w:t>Integration overview →</w:t>
        </w:r>
      </w:hyperlink>
    </w:p>
    <w:sectPr w:rsidR="00116E53">
      <w:headerReference w:type="default" r:id="rId25"/>
      <w:headerReference w:type="first" r:id="rId26"/>
      <w:footerReference w:type="default" r:id="rId27"/>
      <w:footerReference w:type="first" r:id="rId28"/>
      <w:pgSz w:w="11906" w:h="16838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15540" w:rsidRDefault="00115540">
      <w:pPr>
        <w:spacing w:line="240" w:lineRule="auto"/>
      </w:pPr>
      <w:r>
        <w:separator/>
      </w:r>
    </w:p>
  </w:endnote>
  <w:endnote w:type="continuationSeparator" w:id="0">
    <w:p w:rsidR="00115540" w:rsidRDefault="001155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 Light"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4" w:space="4" w:color="d9d9d9"/>
      </w:pBdr>
      <w:tabs>
        <w:tab w:pos="9026" w:val="right"/>
      </w:tabs>
      <w:spacing w:before="0" w:after="0"/>
    </w:pPr>
    <w:r>
      <w:rPr>
        <w:b/>
        <w:color w:val="0F172A"/>
        <w:sz w:val="18"/>
      </w:rPr>
      <w:t>shelfbot</w:t>
    </w:r>
    <w:r>
      <w:rPr>
        <w:color w:val="475569"/>
        <w:sz w:val="17"/>
      </w:rPr>
      <w:tab/>
      <w:t xml:space="preserve">Page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PAGE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  <w:r>
      <w:rPr>
        <w:color w:val="475569"/>
        <w:sz w:val="17"/>
      </w:rPr>
      <w:t xml:space="preserve"> of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NUMPAGES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</w:p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4" w:space="4" w:color="d9d9d9"/>
      </w:pBdr>
      <w:tabs>
        <w:tab w:pos="9026" w:val="right"/>
      </w:tabs>
      <w:spacing w:before="0" w:after="0"/>
    </w:pPr>
    <w:r>
      <w:rPr>
        <w:b/>
        <w:color w:val="0F172A"/>
        <w:sz w:val="18"/>
      </w:rPr>
      <w:t>shelfbot</w:t>
    </w:r>
    <w:r>
      <w:rPr>
        <w:color w:val="475569"/>
        <w:sz w:val="17"/>
      </w:rPr>
      <w:tab/>
      <w:t xml:space="preserve">Page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PAGE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  <w:r>
      <w:rPr>
        <w:color w:val="475569"/>
        <w:sz w:val="17"/>
      </w:rPr>
      <w:t xml:space="preserve"> of </w:t>
    </w:r>
    <w:r>
      <w:rPr>
        <w:color w:val="475569"/>
        <w:sz w:val="17"/>
      </w:rPr>
      <w:fldChar w:fldCharType="begin"/>
    </w:r>
    <w:r>
      <w:rPr>
        <w:color w:val="475569"/>
        <w:sz w:val="17"/>
      </w:rPr>
      <w:instrText xml:space="preserve"> NUMPAGES </w:instrText>
    </w:r>
    <w:r>
      <w:rPr>
        <w:color w:val="475569"/>
        <w:sz w:val="17"/>
      </w:rPr>
      <w:fldChar w:fldCharType="separate"/>
    </w:r>
    <w:r>
      <w:rPr>
        <w:color w:val="475569"/>
        <w:sz w:val="17"/>
      </w:rPr>
      <w:t>1</w:t>
    </w:r>
    <w:r>
      <w:rPr>
        <w:color w:val="475569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15540" w:rsidRDefault="00115540">
      <w:pPr>
        <w:spacing w:line="240" w:lineRule="auto"/>
      </w:pPr>
      <w:r>
        <w:separator/>
      </w:r>
    </w:p>
  </w:footnote>
  <w:footnote w:type="continuationSeparator" w:id="0">
    <w:p w:rsidR="00115540" w:rsidRDefault="00115540">
      <w:pPr>
        <w:spacing w:line="240" w:lineRule="auto"/>
      </w:pPr>
      <w:r>
        <w:continuationSeparator/>
      </w:r>
    </w:p>
  </w:footnote>
</w:footnotes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bottom w:val="single" w:sz="4" w:space="4" w:color="d9d9d9"/>
      </w:pBdr>
      <w:tabs>
        <w:tab w:pos="9026" w:val="right"/>
      </w:tabs>
      <w:spacing w:after="0"/>
    </w:pPr>
    <w:r>
      <w:rPr>
        <w:color w:val="475569"/>
        <w:sz w:val="17"/>
      </w:rPr>
      <w:t>System Overview</w:t>
    </w:r>
    <w:r>
      <w:rPr>
        <w:color w:val="475569"/>
        <w:sz w:val="17"/>
      </w:rPr>
      <w:tab/>
    </w:r>
  </w:p>
</w:hdr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1795A"/>
    <w:multiLevelType w:val="multilevel"/>
    <w:tmpl w:val="A11E64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97837C8"/>
    <w:multiLevelType w:val="multilevel"/>
    <w:tmpl w:val="88385C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D433F8B"/>
    <w:multiLevelType w:val="multilevel"/>
    <w:tmpl w:val="002AAE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C3429CD"/>
    <w:multiLevelType w:val="multilevel"/>
    <w:tmpl w:val="8E5CF7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–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440" w:hanging="360"/>
      </w:pPr>
    </w:lvl>
    <w:lvl w:ilvl="3">
      <w:start w:val="1"/>
      <w:numFmt w:val="bullet"/>
      <w:lvlText w:val="•"/>
      <w:lvlJc w:val="left"/>
      <w:pPr>
        <w:ind w:left="1800" w:hanging="360"/>
      </w:pPr>
    </w:lvl>
    <w:lvl w:ilvl="4">
      <w:start w:val="1"/>
      <w:numFmt w:val="bullet"/>
      <w:lvlText w:val="–"/>
      <w:lvlJc w:val="left"/>
      <w:pPr>
        <w:ind w:left="2160" w:hanging="360"/>
      </w:pPr>
    </w:lvl>
    <w:lvl w:ilvl="5">
      <w:start w:val="1"/>
      <w:numFmt w:val="bullet"/>
      <w:lvlText w:val="▪"/>
      <w:lvlJc w:val="left"/>
      <w:pPr>
        <w:ind w:left="2520" w:hanging="360"/>
      </w:pPr>
    </w:lvl>
    <w:lvl w:ilvl="6">
      <w:start w:val="1"/>
      <w:numFmt w:val="bullet"/>
      <w:lvlText w:val="•"/>
      <w:lvlJc w:val="left"/>
      <w:pPr>
        <w:ind w:left="2880" w:hanging="360"/>
      </w:pPr>
    </w:lvl>
    <w:lvl w:ilvl="7">
      <w:start w:val="1"/>
      <w:numFmt w:val="bullet"/>
      <w:lvlText w:val="–"/>
      <w:lvlJc w:val="left"/>
      <w:pPr>
        <w:ind w:left="3240" w:hanging="360"/>
      </w:pPr>
    </w:lvl>
    <w:lvl w:ilvl="8">
      <w:start w:val="1"/>
      <w:numFmt w:val="bullet"/>
      <w:lvlText w:val="▪"/>
      <w:lvlJc w:val="left"/>
      <w:pPr>
        <w:ind w:left="3600" w:hanging="360"/>
      </w:p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lowerLetter"/>
      <w:lvlText w:val="%5."/>
      <w:lvlJc w:val="left"/>
      <w:pPr>
        <w:ind w:left="2160" w:hanging="360"/>
      </w:pPr>
    </w:lvl>
    <w:lvl w:ilvl="5">
      <w:start w:val="1"/>
      <w:numFmt w:val="lowerRoman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num w:numId="1" w16cid:durableId="2002418222">
    <w:abstractNumId w:val="1"/>
  </w:num>
  <w:num w:numId="2" w16cid:durableId="360740353">
    <w:abstractNumId w:val="2"/>
  </w:num>
  <w:num w:numId="3" w16cid:durableId="1211117638">
    <w:abstractNumId w:val="3"/>
  </w:num>
  <w:num w:numId="4" w16cid:durableId="1900244098">
    <w:abstractNumId w:val="0"/>
  </w:num>
  <w:num w:numId="5">
    <w:abstractNumId w:val="4"/>
  </w:num>
  <w:num w:numId="6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9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10E"/>
    <w:rsid w:val="0000526E"/>
    <w:rsid w:val="00022A24"/>
    <w:rsid w:val="00046F8A"/>
    <w:rsid w:val="000D6C59"/>
    <w:rsid w:val="00115540"/>
    <w:rsid w:val="00116E53"/>
    <w:rsid w:val="00144EFC"/>
    <w:rsid w:val="00165FB6"/>
    <w:rsid w:val="0018212A"/>
    <w:rsid w:val="002163BC"/>
    <w:rsid w:val="002222C5"/>
    <w:rsid w:val="00291270"/>
    <w:rsid w:val="00304EEA"/>
    <w:rsid w:val="003379ED"/>
    <w:rsid w:val="0036710E"/>
    <w:rsid w:val="003A393C"/>
    <w:rsid w:val="003F63E2"/>
    <w:rsid w:val="00452FBD"/>
    <w:rsid w:val="00492CF5"/>
    <w:rsid w:val="004A34A0"/>
    <w:rsid w:val="00524BCF"/>
    <w:rsid w:val="0059042D"/>
    <w:rsid w:val="005A6606"/>
    <w:rsid w:val="005B20E0"/>
    <w:rsid w:val="00602F03"/>
    <w:rsid w:val="00675CF6"/>
    <w:rsid w:val="00675E19"/>
    <w:rsid w:val="006A2BF9"/>
    <w:rsid w:val="006B1C09"/>
    <w:rsid w:val="006D5918"/>
    <w:rsid w:val="00711B4F"/>
    <w:rsid w:val="007B42F2"/>
    <w:rsid w:val="007F32FA"/>
    <w:rsid w:val="008019CB"/>
    <w:rsid w:val="00805D4C"/>
    <w:rsid w:val="0084081E"/>
    <w:rsid w:val="00844A53"/>
    <w:rsid w:val="0085298B"/>
    <w:rsid w:val="00883A57"/>
    <w:rsid w:val="008A582D"/>
    <w:rsid w:val="008C73A7"/>
    <w:rsid w:val="008D4F0B"/>
    <w:rsid w:val="00901FA8"/>
    <w:rsid w:val="00913BBC"/>
    <w:rsid w:val="009E34AC"/>
    <w:rsid w:val="00AB01D3"/>
    <w:rsid w:val="00B636F4"/>
    <w:rsid w:val="00BF435F"/>
    <w:rsid w:val="00C44C08"/>
    <w:rsid w:val="00C5009F"/>
    <w:rsid w:val="00C8205A"/>
    <w:rsid w:val="00CD5523"/>
    <w:rsid w:val="00D02571"/>
    <w:rsid w:val="00D67B8F"/>
    <w:rsid w:val="00D73FF2"/>
    <w:rsid w:val="00D8444F"/>
    <w:rsid w:val="00D85A31"/>
    <w:rsid w:val="00DC339F"/>
    <w:rsid w:val="00DC7BA1"/>
    <w:rsid w:val="00DD03DC"/>
    <w:rsid w:val="00E00EEE"/>
    <w:rsid w:val="00E1714E"/>
    <w:rsid w:val="00E6783E"/>
    <w:rsid w:val="00F1757F"/>
    <w:rsid w:val="00F205AA"/>
    <w:rsid w:val="00F425E0"/>
    <w:rsid w:val="00F65815"/>
    <w:rsid w:val="00F92435"/>
    <w:rsid w:val="00FE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903DFE"/>
  <w15:docId w15:val="{6E2F75C7-53BC-5342-96E4-88076DEC0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 Light" w:eastAsia="Helvetica Neue Light" w:hAnsi="Helvetica Neue Light" w:cs="Helvetica Neue Light"/>
        <w:lang w:val="en-AU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8" w:space="6" w:color="999999"/>
      </w:pBdr>
      <w:spacing w:before="225" w:after="400" w:line="240" w:lineRule="auto"/>
      <w:outlineLvl w:val="0"/>
    </w:pPr>
    <w:rPr>
      <w:rFonts w:ascii="Helvetica Neue" w:eastAsia="Helvetica Neue" w:hAnsi="Helvetica Neue" w:cs="Helvetica Neue"/>
      <w:sz w:val="44"/>
      <w:szCs w:val="4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0" w:after="400" w:line="360" w:lineRule="auto"/>
      <w:outlineLvl w:val="1"/>
    </w:pPr>
    <w:rPr>
      <w:rFonts w:ascii="Helvetica Neue" w:eastAsia="Helvetica Neue" w:hAnsi="Helvetica Neue" w:cs="Helvetica Neue"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100"/>
      <w:outlineLvl w:val="2"/>
    </w:pPr>
    <w:rPr>
      <w:rFonts w:ascii="Helvetica Neue" w:eastAsia="Helvetica Neue" w:hAnsi="Helvetica Neue" w:cs="Helvetica Neue"/>
      <w:b/>
      <w:bCs/>
      <w:color w:val="2B6991"/>
      <w:sz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b/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b/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046F8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F8A"/>
  </w:style>
  <w:style w:type="character" w:styleId="Hyperlink">
    <w:name w:val="Hyperlink"/>
    <w:basedOn w:val="DefaultParagraphFont"/>
    <w:uiPriority w:val="99"/>
    <w:unhideWhenUsed/>
    <w:rsid w:val="00524B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4BC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F435F"/>
    <w:pPr>
      <w:ind w:left="720"/>
      <w:contextualSpacing/>
    </w:pPr>
  </w:style>
  <w:style w:type="paragraph" w:customStyle="1" w:styleId="ListBullet">
    <w:name w:val="List Bullet"/>
    <w:basedOn w:val="Normal"/>
    <w:qFormat/>
    <w:pPr>
      <w:spacing w:after="60"/>
      <w:contextualSpacing/>
    </w:pPr>
  </w:style>
  <w:style w:type="paragraph" w:customStyle="1" w:styleId="ListNumber">
    <w:name w:val="List Number"/>
    <w:basedOn w:val="Normal"/>
    <w:qFormat/>
    <w:pPr>
      <w:spacing w:after="60"/>
      <w:contextualSpacing/>
    </w:pPr>
  </w:style>
  <w:style w:type="paragraph" w:customStyle="1" w:styleId="Caption">
    <w:name w:val="caption"/>
    <w:basedOn w:val="Normal"/>
    <w:qFormat/>
    <w:pPr>
      <w:spacing w:before="40" w:after="200"/>
      <w:jc w:val="center"/>
    </w:pPr>
    <w:rPr>
      <w:i/>
      <w:color w:val="475569"/>
      <w:sz w:val="18"/>
    </w:rPr>
  </w:style>
  <w:style w:type="paragraph" w:customStyle="1" w:styleId="CodeBlock">
    <w:name w:val="Code Block"/>
    <w:basedOn w:val="Normal"/>
    <w:qFormat/>
    <w:pPr>
      <w:spacing w:after="0" w:before="0" w:line="240" w:lineRule="auto"/>
    </w:pPr>
    <w:rPr>
      <w:rFonts w:ascii="Liberation Mono" w:hAnsi="Liberation Mono" w:cs="Liberation Mono" w:eastAsia="Liberation Mono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4" Type="http://schemas.openxmlformats.org/officeDocument/2006/relationships/webSettings" Target="webSettings.xml"/><Relationship Id="rId17" Type="http://schemas.openxmlformats.org/officeDocument/2006/relationships/hyperlink" Target="https://shelfbot.com/docs/technical-data-sheet" TargetMode="External"/><Relationship Id="rId18" Type="http://schemas.openxmlformats.org/officeDocument/2006/relationships/hyperlink" Target="https://shelfbot.com/docs/safety-compliance" TargetMode="External"/><Relationship Id="rId19" Type="http://schemas.openxmlformats.org/officeDocument/2006/relationships/hyperlink" Target="https://shelfbot.com/docs/integration" TargetMode="External"/><Relationship Id="rId21" Type="http://schemas.openxmlformats.org/officeDocument/2006/relationships/hyperlink" Target="https://shelfbot.com/documents" TargetMode="External"/><Relationship Id="rId22" Type="http://schemas.openxmlformats.org/officeDocument/2006/relationships/hyperlink" Target="https://shelfbot.com/contact" TargetMode="External"/><Relationship Id="rId23" Type="http://schemas.openxmlformats.org/officeDocument/2006/relationships/hyperlink" Target="https://shelfbot.com/docs/racking-specification" TargetMode="External"/><Relationship Id="rId24" Type="http://schemas.openxmlformats.org/officeDocument/2006/relationships/hyperlink" Target="https://shelfbot.com/docs/electrical-specification" TargetMode="External"/><Relationship Id="rId25" Type="http://schemas.openxmlformats.org/officeDocument/2006/relationships/header" Target="header4.xml"/><Relationship Id="rId26" Type="http://schemas.openxmlformats.org/officeDocument/2006/relationships/header" Target="header5.xml"/><Relationship Id="rId27" Type="http://schemas.openxmlformats.org/officeDocument/2006/relationships/footer" Target="footer4.xml"/><Relationship Id="rId2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13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 SHELFBOT O'Dea</cp:lastModifiedBy>
  <cp:revision>41</cp:revision>
  <dcterms:created xsi:type="dcterms:W3CDTF">2026-02-09T05:22:00Z</dcterms:created>
  <dcterms:modified xsi:type="dcterms:W3CDTF">2026-05-13T22:20:00Z</dcterms:modified>
  <dc:title>System Overview</dc:title>
  <dc:subject/>
  <dc:creator>Shelfbot</dc:creator>
</cp:coreProperties>
</file>